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2A" w:rsidRDefault="00EF5E82">
      <w:pPr>
        <w:widowControl/>
        <w:snapToGrid w:val="0"/>
        <w:spacing w:line="360" w:lineRule="auto"/>
        <w:jc w:val="center"/>
        <w:rPr>
          <w:rFonts w:ascii="楷体_GB2312" w:eastAsia="楷体_GB2312" w:hAnsi="楷体_GB2312" w:cs="宋体"/>
          <w:sz w:val="28"/>
          <w:szCs w:val="24"/>
        </w:rPr>
      </w:pPr>
      <w:r>
        <w:rPr>
          <w:rFonts w:ascii="楷体_GB2312" w:eastAsia="楷体_GB2312" w:hAnsi="楷体_GB2312" w:cs="宋体" w:hint="eastAsia"/>
          <w:sz w:val="28"/>
          <w:szCs w:val="24"/>
        </w:rPr>
        <w:t>809</w:t>
      </w:r>
      <w:r>
        <w:rPr>
          <w:rFonts w:ascii="楷体_GB2312" w:eastAsia="楷体_GB2312" w:hAnsi="楷体_GB2312" w:cs="宋体" w:hint="eastAsia"/>
          <w:sz w:val="28"/>
          <w:szCs w:val="24"/>
        </w:rPr>
        <w:t>（民法学、经济法学、刑法学）</w:t>
      </w:r>
    </w:p>
    <w:p w:rsidR="00A33142" w:rsidRDefault="00A33142">
      <w:pPr>
        <w:widowControl/>
        <w:snapToGrid w:val="0"/>
        <w:spacing w:line="360" w:lineRule="auto"/>
        <w:jc w:val="center"/>
        <w:rPr>
          <w:rFonts w:ascii="楷体_GB2312" w:eastAsia="楷体_GB2312" w:hAnsi="楷体_GB2312" w:cs="宋体" w:hint="eastAsia"/>
          <w:sz w:val="28"/>
          <w:szCs w:val="24"/>
        </w:rPr>
      </w:pPr>
      <w:r w:rsidRPr="006A0F55">
        <w:rPr>
          <w:rFonts w:ascii="黑体" w:eastAsia="黑体" w:hAnsi="黑体" w:hint="eastAsia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:rsidR="00615753" w:rsidRDefault="00EF5E82" w:rsidP="00A33142">
      <w:pPr>
        <w:widowControl/>
        <w:snapToGrid w:val="0"/>
        <w:spacing w:line="360" w:lineRule="auto"/>
        <w:jc w:val="center"/>
        <w:rPr>
          <w:rFonts w:ascii="楷体_GB2312" w:eastAsia="楷体_GB2312" w:hAnsi="宋体" w:cs="宋体" w:hint="eastAsia"/>
          <w:b/>
          <w:sz w:val="36"/>
        </w:rPr>
      </w:pPr>
      <w:r>
        <w:rPr>
          <w:rFonts w:ascii="楷体_GB2312" w:eastAsia="楷体_GB2312" w:hAnsi="宋体" w:cs="宋体" w:hint="eastAsia"/>
          <w:b/>
          <w:sz w:val="36"/>
        </w:rPr>
        <w:t>《民法学》科</w:t>
      </w:r>
      <w:bookmarkStart w:id="0" w:name="_GoBack"/>
      <w:bookmarkEnd w:id="0"/>
      <w:r>
        <w:rPr>
          <w:rFonts w:ascii="楷体_GB2312" w:eastAsia="楷体_GB2312" w:hAnsi="宋体" w:cs="宋体" w:hint="eastAsia"/>
          <w:b/>
          <w:sz w:val="36"/>
        </w:rPr>
        <w:t>目考试大纲（</w:t>
      </w:r>
      <w:r>
        <w:rPr>
          <w:rFonts w:ascii="楷体_GB2312" w:eastAsia="楷体_GB2312" w:hAnsi="宋体" w:cs="宋体" w:hint="eastAsia"/>
          <w:b/>
          <w:sz w:val="36"/>
        </w:rPr>
        <w:t>50</w:t>
      </w:r>
      <w:r>
        <w:rPr>
          <w:rFonts w:ascii="楷体_GB2312" w:eastAsia="楷体_GB2312" w:hAnsi="宋体" w:cs="宋体" w:hint="eastAsia"/>
          <w:b/>
          <w:sz w:val="36"/>
        </w:rPr>
        <w:t>分）</w:t>
      </w:r>
    </w:p>
    <w:p w:rsidR="0029412A" w:rsidRDefault="00EF5E82">
      <w:pPr>
        <w:widowControl/>
        <w:snapToGrid w:val="0"/>
        <w:spacing w:beforeLines="50" w:before="156" w:line="360" w:lineRule="auto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一、</w:t>
      </w:r>
      <w:r>
        <w:rPr>
          <w:rFonts w:ascii="楷体_GB2312" w:eastAsia="楷体_GB2312" w:hint="eastAsia"/>
          <w:b/>
          <w:bCs/>
          <w:sz w:val="32"/>
          <w:szCs w:val="32"/>
        </w:rPr>
        <w:t>涵盖范围及基本内容</w:t>
      </w:r>
    </w:p>
    <w:p w:rsidR="0029412A" w:rsidRDefault="00EF5E82">
      <w:pPr>
        <w:widowControl/>
        <w:snapToGrid w:val="0"/>
        <w:spacing w:before="12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 xml:space="preserve">  </w:t>
      </w:r>
      <w:r>
        <w:rPr>
          <w:rFonts w:ascii="楷体_GB2312" w:eastAsia="楷体_GB2312" w:hint="eastAsia"/>
          <w:bCs/>
          <w:sz w:val="28"/>
          <w:szCs w:val="28"/>
        </w:rPr>
        <w:t xml:space="preserve"> </w:t>
      </w:r>
      <w:r>
        <w:rPr>
          <w:rFonts w:ascii="楷体_GB2312" w:eastAsia="楷体_GB2312" w:hint="eastAsia"/>
          <w:bCs/>
          <w:sz w:val="28"/>
          <w:szCs w:val="28"/>
        </w:rPr>
        <w:t>（一）民法总论</w:t>
      </w:r>
    </w:p>
    <w:p w:rsidR="0029412A" w:rsidRDefault="00EF5E82">
      <w:pPr>
        <w:widowControl/>
        <w:snapToGrid w:val="0"/>
        <w:spacing w:before="24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 xml:space="preserve">    </w:t>
      </w:r>
      <w:r>
        <w:rPr>
          <w:rFonts w:ascii="楷体_GB2312" w:eastAsia="楷体_GB2312" w:hint="eastAsia"/>
          <w:bCs/>
          <w:sz w:val="28"/>
          <w:szCs w:val="28"/>
        </w:rPr>
        <w:t>民法基础原理；民法基本原则；民事法律关系及其三要素；民事主体制度；民事权利；民事权利客体；民事法律行为；代理；民事责任；诉讼时效</w:t>
      </w:r>
    </w:p>
    <w:p w:rsidR="0029412A" w:rsidRDefault="00EF5E82">
      <w:pPr>
        <w:widowControl/>
        <w:snapToGrid w:val="0"/>
        <w:spacing w:before="240"/>
        <w:ind w:firstLineChars="147" w:firstLine="412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（二）物权</w:t>
      </w:r>
    </w:p>
    <w:p w:rsidR="0029412A" w:rsidRDefault="00EF5E82">
      <w:pPr>
        <w:widowControl/>
        <w:snapToGrid w:val="0"/>
        <w:spacing w:before="12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 xml:space="preserve">    </w:t>
      </w:r>
      <w:r>
        <w:rPr>
          <w:rFonts w:ascii="楷体_GB2312" w:eastAsia="楷体_GB2312" w:hint="eastAsia"/>
          <w:bCs/>
          <w:sz w:val="28"/>
          <w:szCs w:val="28"/>
        </w:rPr>
        <w:t>物权及物权法基础原理；物权法基本原则；物权变动；所有权；用益物权；担保物权；占有</w:t>
      </w:r>
    </w:p>
    <w:p w:rsidR="0029412A" w:rsidRDefault="00EF5E82">
      <w:pPr>
        <w:widowControl/>
        <w:snapToGrid w:val="0"/>
        <w:spacing w:before="240"/>
        <w:ind w:firstLineChars="147" w:firstLine="412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（三）合同</w:t>
      </w:r>
    </w:p>
    <w:p w:rsidR="0029412A" w:rsidRDefault="00EF5E82">
      <w:pPr>
        <w:widowControl/>
        <w:snapToGrid w:val="0"/>
        <w:spacing w:before="120"/>
        <w:ind w:firstLineChars="200" w:firstLine="56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合同及合同法基础原理；合同的订立</w:t>
      </w:r>
      <w:r>
        <w:rPr>
          <w:rFonts w:ascii="楷体_GB2312" w:eastAsia="楷体_GB2312" w:hint="eastAsia"/>
          <w:bCs/>
          <w:sz w:val="28"/>
          <w:szCs w:val="28"/>
        </w:rPr>
        <w:t>、</w:t>
      </w:r>
      <w:r>
        <w:rPr>
          <w:rFonts w:ascii="楷体_GB2312" w:eastAsia="楷体_GB2312" w:hint="eastAsia"/>
          <w:bCs/>
          <w:sz w:val="28"/>
          <w:szCs w:val="28"/>
        </w:rPr>
        <w:t>成立与生效；</w:t>
      </w:r>
      <w:r>
        <w:rPr>
          <w:rFonts w:ascii="楷体_GB2312" w:eastAsia="楷体_GB2312" w:hint="eastAsia"/>
          <w:bCs/>
          <w:sz w:val="28"/>
          <w:szCs w:val="28"/>
        </w:rPr>
        <w:t>合同的效力；合同的履行；合同的保全；</w:t>
      </w:r>
      <w:r>
        <w:rPr>
          <w:rFonts w:ascii="楷体_GB2312" w:eastAsia="楷体_GB2312" w:hint="eastAsia"/>
          <w:bCs/>
          <w:sz w:val="28"/>
          <w:szCs w:val="28"/>
        </w:rPr>
        <w:t>合同的变更和</w:t>
      </w:r>
      <w:r>
        <w:rPr>
          <w:rFonts w:ascii="楷体_GB2312" w:eastAsia="楷体_GB2312" w:hint="eastAsia"/>
          <w:bCs/>
          <w:sz w:val="28"/>
          <w:szCs w:val="28"/>
        </w:rPr>
        <w:t>转让</w:t>
      </w:r>
      <w:r>
        <w:rPr>
          <w:rFonts w:ascii="楷体_GB2312" w:eastAsia="楷体_GB2312" w:hint="eastAsia"/>
          <w:bCs/>
          <w:sz w:val="28"/>
          <w:szCs w:val="28"/>
        </w:rPr>
        <w:t>；</w:t>
      </w:r>
      <w:r>
        <w:rPr>
          <w:rFonts w:ascii="楷体_GB2312" w:eastAsia="楷体_GB2312" w:hint="eastAsia"/>
          <w:bCs/>
          <w:sz w:val="28"/>
          <w:szCs w:val="28"/>
        </w:rPr>
        <w:t>合同的权利义务终止；</w:t>
      </w:r>
      <w:r>
        <w:rPr>
          <w:rFonts w:ascii="楷体_GB2312" w:eastAsia="楷体_GB2312" w:hint="eastAsia"/>
          <w:bCs/>
          <w:sz w:val="28"/>
          <w:szCs w:val="28"/>
        </w:rPr>
        <w:t>违约责任；十</w:t>
      </w:r>
      <w:r>
        <w:rPr>
          <w:rFonts w:ascii="楷体_GB2312" w:eastAsia="楷体_GB2312" w:hint="eastAsia"/>
          <w:bCs/>
          <w:sz w:val="28"/>
          <w:szCs w:val="28"/>
        </w:rPr>
        <w:t>九</w:t>
      </w:r>
      <w:r>
        <w:rPr>
          <w:rFonts w:ascii="楷体_GB2312" w:eastAsia="楷体_GB2312" w:hint="eastAsia"/>
          <w:bCs/>
          <w:sz w:val="28"/>
          <w:szCs w:val="28"/>
        </w:rPr>
        <w:t>类</w:t>
      </w:r>
      <w:r>
        <w:rPr>
          <w:rFonts w:ascii="楷体_GB2312" w:eastAsia="楷体_GB2312" w:hint="eastAsia"/>
          <w:bCs/>
          <w:sz w:val="28"/>
          <w:szCs w:val="28"/>
        </w:rPr>
        <w:t>典型</w:t>
      </w:r>
      <w:r>
        <w:rPr>
          <w:rFonts w:ascii="楷体_GB2312" w:eastAsia="楷体_GB2312" w:hint="eastAsia"/>
          <w:bCs/>
          <w:sz w:val="28"/>
          <w:szCs w:val="28"/>
        </w:rPr>
        <w:t>合同</w:t>
      </w:r>
      <w:r>
        <w:rPr>
          <w:rFonts w:ascii="楷体_GB2312" w:eastAsia="楷体_GB2312" w:hint="eastAsia"/>
          <w:bCs/>
          <w:sz w:val="28"/>
          <w:szCs w:val="28"/>
        </w:rPr>
        <w:t>；准合同。</w:t>
      </w:r>
    </w:p>
    <w:p w:rsidR="0029412A" w:rsidRDefault="00EF5E82">
      <w:pPr>
        <w:widowControl/>
        <w:snapToGrid w:val="0"/>
        <w:spacing w:before="240"/>
        <w:ind w:firstLineChars="147" w:firstLine="412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（四）</w:t>
      </w:r>
      <w:r>
        <w:rPr>
          <w:rFonts w:ascii="楷体_GB2312" w:eastAsia="楷体_GB2312" w:hint="eastAsia"/>
          <w:bCs/>
          <w:sz w:val="28"/>
          <w:szCs w:val="28"/>
        </w:rPr>
        <w:t>人格权</w:t>
      </w:r>
    </w:p>
    <w:p w:rsidR="0029412A" w:rsidRDefault="00EF5E82">
      <w:pPr>
        <w:widowControl/>
        <w:snapToGrid w:val="0"/>
        <w:spacing w:before="120"/>
        <w:ind w:firstLineChars="200" w:firstLine="56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人格权</w:t>
      </w:r>
      <w:r>
        <w:rPr>
          <w:rFonts w:ascii="楷体_GB2312" w:eastAsia="楷体_GB2312" w:hint="eastAsia"/>
          <w:bCs/>
          <w:sz w:val="28"/>
          <w:szCs w:val="28"/>
        </w:rPr>
        <w:t>基础原理；</w:t>
      </w:r>
      <w:r>
        <w:rPr>
          <w:rFonts w:ascii="楷体_GB2312" w:eastAsia="楷体_GB2312" w:hint="eastAsia"/>
          <w:bCs/>
          <w:sz w:val="28"/>
          <w:szCs w:val="28"/>
        </w:rPr>
        <w:t>各类具体人格权的内涵及保护。</w:t>
      </w:r>
    </w:p>
    <w:p w:rsidR="0029412A" w:rsidRDefault="00EF5E82">
      <w:pPr>
        <w:widowControl/>
        <w:snapToGrid w:val="0"/>
        <w:spacing w:before="240"/>
        <w:ind w:firstLineChars="146" w:firstLine="409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（五）</w:t>
      </w:r>
      <w:r>
        <w:rPr>
          <w:rFonts w:ascii="楷体_GB2312" w:eastAsia="楷体_GB2312" w:hint="eastAsia"/>
          <w:bCs/>
          <w:sz w:val="28"/>
          <w:szCs w:val="28"/>
        </w:rPr>
        <w:t>婚姻家庭与继承</w:t>
      </w:r>
    </w:p>
    <w:p w:rsidR="0029412A" w:rsidRDefault="00EF5E82">
      <w:pPr>
        <w:widowControl/>
        <w:snapToGrid w:val="0"/>
        <w:spacing w:before="240"/>
        <w:ind w:firstLineChars="146" w:firstLine="409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婚姻家庭及继承基础法理；结婚；家庭关系；离婚；收养；法定继承；遗嘱继承和遗赠；遗产的处理。</w:t>
      </w:r>
    </w:p>
    <w:p w:rsidR="0029412A" w:rsidRDefault="00EF5E82">
      <w:pPr>
        <w:widowControl/>
        <w:snapToGrid w:val="0"/>
        <w:spacing w:before="240"/>
        <w:ind w:firstLineChars="146" w:firstLine="409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（六）</w:t>
      </w:r>
      <w:r>
        <w:rPr>
          <w:rFonts w:ascii="楷体_GB2312" w:eastAsia="楷体_GB2312" w:hint="eastAsia"/>
          <w:bCs/>
          <w:sz w:val="28"/>
          <w:szCs w:val="28"/>
        </w:rPr>
        <w:t>侵权责任</w:t>
      </w:r>
    </w:p>
    <w:p w:rsidR="0029412A" w:rsidRDefault="00EF5E82">
      <w:pPr>
        <w:widowControl/>
        <w:snapToGrid w:val="0"/>
        <w:spacing w:before="120"/>
        <w:ind w:firstLineChars="200" w:firstLine="560"/>
        <w:outlineLvl w:val="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侵权责任法基础原理；侵权责任的归责原则；侵权责任的成立要件；数人侵权责任；侵权责任的承担</w:t>
      </w:r>
      <w:r>
        <w:rPr>
          <w:rFonts w:ascii="楷体_GB2312" w:eastAsia="楷体_GB2312" w:hint="eastAsia"/>
          <w:bCs/>
          <w:sz w:val="28"/>
          <w:szCs w:val="28"/>
        </w:rPr>
        <w:t>与</w:t>
      </w:r>
      <w:r>
        <w:rPr>
          <w:rFonts w:ascii="楷体_GB2312" w:eastAsia="楷体_GB2312" w:hint="eastAsia"/>
          <w:bCs/>
          <w:sz w:val="28"/>
          <w:szCs w:val="28"/>
        </w:rPr>
        <w:t>免</w:t>
      </w:r>
      <w:r>
        <w:rPr>
          <w:rFonts w:ascii="楷体_GB2312" w:eastAsia="楷体_GB2312" w:hint="eastAsia"/>
          <w:bCs/>
          <w:sz w:val="28"/>
          <w:szCs w:val="28"/>
        </w:rPr>
        <w:t>除</w:t>
      </w:r>
      <w:r>
        <w:rPr>
          <w:rFonts w:ascii="楷体_GB2312" w:eastAsia="楷体_GB2312" w:hint="eastAsia"/>
          <w:bCs/>
          <w:sz w:val="28"/>
          <w:szCs w:val="28"/>
        </w:rPr>
        <w:t>；</w:t>
      </w:r>
      <w:r>
        <w:rPr>
          <w:rFonts w:ascii="楷体_GB2312" w:eastAsia="楷体_GB2312" w:hint="eastAsia"/>
          <w:bCs/>
          <w:sz w:val="28"/>
          <w:szCs w:val="28"/>
        </w:rPr>
        <w:t>损害赔偿；</w:t>
      </w:r>
      <w:r>
        <w:rPr>
          <w:rFonts w:ascii="楷体_GB2312" w:eastAsia="楷体_GB2312" w:hint="eastAsia"/>
          <w:bCs/>
          <w:sz w:val="28"/>
          <w:szCs w:val="28"/>
        </w:rPr>
        <w:t>责任主体的特殊规定；产品责任；机动车交通事故责任；医疗损害责任；环境污染</w:t>
      </w:r>
      <w:r>
        <w:rPr>
          <w:rFonts w:ascii="楷体_GB2312" w:eastAsia="楷体_GB2312" w:hint="eastAsia"/>
          <w:bCs/>
          <w:sz w:val="28"/>
          <w:szCs w:val="28"/>
        </w:rPr>
        <w:t>和生态破坏</w:t>
      </w:r>
      <w:r>
        <w:rPr>
          <w:rFonts w:ascii="楷体_GB2312" w:eastAsia="楷体_GB2312" w:hint="eastAsia"/>
          <w:bCs/>
          <w:sz w:val="28"/>
          <w:szCs w:val="28"/>
        </w:rPr>
        <w:t>责任；高度危险责任；饲养动物损害责任；</w:t>
      </w:r>
      <w:r>
        <w:rPr>
          <w:rFonts w:ascii="楷体_GB2312" w:eastAsia="楷体_GB2312" w:hint="eastAsia"/>
          <w:bCs/>
          <w:sz w:val="28"/>
          <w:szCs w:val="28"/>
        </w:rPr>
        <w:t>建筑物和</w:t>
      </w:r>
      <w:r>
        <w:rPr>
          <w:rFonts w:ascii="楷体_GB2312" w:eastAsia="楷体_GB2312" w:hint="eastAsia"/>
          <w:bCs/>
          <w:sz w:val="28"/>
          <w:szCs w:val="28"/>
        </w:rPr>
        <w:t>物件损害责任</w:t>
      </w:r>
    </w:p>
    <w:p w:rsidR="0029412A" w:rsidRDefault="00EF5E82">
      <w:pPr>
        <w:widowControl/>
        <w:snapToGrid w:val="0"/>
        <w:spacing w:before="240" w:line="360" w:lineRule="auto"/>
        <w:ind w:firstLineChars="150" w:firstLine="482"/>
        <w:outlineLvl w:val="0"/>
        <w:rPr>
          <w:rFonts w:ascii="楷体_GB2312" w:eastAsia="楷体_GB2312" w:hAnsi="宋体" w:cs="宋体"/>
          <w:b/>
          <w:sz w:val="32"/>
        </w:rPr>
      </w:pPr>
      <w:r>
        <w:rPr>
          <w:rFonts w:ascii="楷体_GB2312" w:eastAsia="楷体_GB2312" w:hAnsi="宋体" w:cs="宋体" w:hint="eastAsia"/>
          <w:b/>
          <w:sz w:val="32"/>
        </w:rPr>
        <w:t>二、主要参考教材</w:t>
      </w:r>
    </w:p>
    <w:p w:rsidR="0029412A" w:rsidRDefault="00EF5E82">
      <w:pPr>
        <w:widowControl/>
        <w:snapToGrid w:val="0"/>
        <w:ind w:firstLineChars="147" w:firstLine="412"/>
        <w:outlineLvl w:val="0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lastRenderedPageBreak/>
        <w:t>1.</w:t>
      </w:r>
      <w:r>
        <w:rPr>
          <w:rFonts w:ascii="楷体_GB2312" w:eastAsia="楷体_GB2312" w:hint="eastAsia"/>
          <w:bCs/>
          <w:sz w:val="28"/>
          <w:szCs w:val="28"/>
        </w:rPr>
        <w:t>《民</w:t>
      </w:r>
      <w:r>
        <w:rPr>
          <w:rFonts w:ascii="楷体_GB2312" w:eastAsia="楷体_GB2312" w:hint="eastAsia"/>
          <w:bCs/>
          <w:sz w:val="28"/>
          <w:szCs w:val="28"/>
        </w:rPr>
        <w:t>法学</w:t>
      </w:r>
      <w:r>
        <w:rPr>
          <w:rFonts w:ascii="楷体_GB2312" w:eastAsia="楷体_GB2312" w:hint="eastAsia"/>
          <w:bCs/>
          <w:sz w:val="28"/>
          <w:szCs w:val="28"/>
        </w:rPr>
        <w:t>》</w:t>
      </w:r>
      <w:r>
        <w:rPr>
          <w:rFonts w:ascii="楷体_GB2312" w:eastAsia="楷体_GB2312" w:hint="eastAsia"/>
          <w:bCs/>
          <w:sz w:val="28"/>
          <w:szCs w:val="28"/>
        </w:rPr>
        <w:t>编写组：《</w:t>
      </w:r>
      <w:r>
        <w:rPr>
          <w:rFonts w:ascii="楷体_GB2312" w:eastAsia="楷体_GB2312" w:hint="eastAsia"/>
          <w:bCs/>
          <w:sz w:val="28"/>
          <w:szCs w:val="28"/>
        </w:rPr>
        <w:t>民法</w:t>
      </w:r>
      <w:r>
        <w:rPr>
          <w:rFonts w:ascii="楷体_GB2312" w:eastAsia="楷体_GB2312" w:hint="eastAsia"/>
          <w:bCs/>
          <w:sz w:val="28"/>
          <w:szCs w:val="28"/>
        </w:rPr>
        <w:t>学》</w:t>
      </w:r>
      <w:r>
        <w:rPr>
          <w:rFonts w:ascii="楷体_GB2312" w:eastAsia="楷体_GB2312" w:hint="eastAsia"/>
          <w:bCs/>
          <w:sz w:val="28"/>
          <w:szCs w:val="28"/>
        </w:rPr>
        <w:t>（马</w:t>
      </w:r>
      <w:r>
        <w:rPr>
          <w:rFonts w:ascii="楷体_GB2312" w:eastAsia="楷体_GB2312" w:hint="eastAsia"/>
          <w:bCs/>
          <w:sz w:val="28"/>
          <w:szCs w:val="28"/>
        </w:rPr>
        <w:t>克思主义理论研究和建设工程重点教材</w:t>
      </w:r>
      <w:r>
        <w:rPr>
          <w:rFonts w:ascii="楷体_GB2312" w:eastAsia="楷体_GB2312" w:hint="eastAsia"/>
          <w:bCs/>
          <w:sz w:val="28"/>
          <w:szCs w:val="28"/>
        </w:rPr>
        <w:t>）</w:t>
      </w:r>
      <w:r>
        <w:rPr>
          <w:rFonts w:ascii="楷体_GB2312" w:eastAsia="楷体_GB2312" w:hint="eastAsia"/>
          <w:bCs/>
          <w:sz w:val="28"/>
          <w:szCs w:val="28"/>
        </w:rPr>
        <w:t>，高等教育出版社</w:t>
      </w:r>
      <w:r>
        <w:rPr>
          <w:rFonts w:ascii="楷体_GB2312" w:eastAsia="楷体_GB2312" w:hint="eastAsia"/>
          <w:bCs/>
          <w:sz w:val="28"/>
          <w:szCs w:val="28"/>
        </w:rPr>
        <w:t>201</w:t>
      </w:r>
      <w:r>
        <w:rPr>
          <w:rFonts w:ascii="楷体_GB2312" w:eastAsia="楷体_GB2312" w:hint="eastAsia"/>
          <w:bCs/>
          <w:sz w:val="28"/>
          <w:szCs w:val="28"/>
        </w:rPr>
        <w:t>9</w:t>
      </w:r>
      <w:r>
        <w:rPr>
          <w:rFonts w:ascii="楷体_GB2312" w:eastAsia="楷体_GB2312" w:hint="eastAsia"/>
          <w:bCs/>
          <w:sz w:val="28"/>
          <w:szCs w:val="28"/>
        </w:rPr>
        <w:t>年版</w:t>
      </w:r>
      <w:r>
        <w:rPr>
          <w:rFonts w:ascii="楷体_GB2312" w:eastAsia="楷体_GB2312" w:hAnsi="宋体" w:cs="宋体" w:hint="eastAsia"/>
          <w:sz w:val="28"/>
          <w:szCs w:val="28"/>
        </w:rPr>
        <w:t>；</w:t>
      </w:r>
    </w:p>
    <w:p w:rsidR="0029412A" w:rsidRDefault="00EF5E82">
      <w:pPr>
        <w:widowControl/>
        <w:snapToGrid w:val="0"/>
        <w:ind w:firstLineChars="147" w:firstLine="412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" w:eastAsia="楷体" w:hAnsi="楷体" w:cs="宋体" w:hint="eastAsia"/>
          <w:sz w:val="28"/>
          <w:szCs w:val="28"/>
        </w:rPr>
        <w:t>2</w:t>
      </w:r>
      <w:r>
        <w:rPr>
          <w:rFonts w:ascii="楷体" w:eastAsia="楷体" w:hAnsi="楷体" w:cs="宋体" w:hint="eastAsia"/>
          <w:sz w:val="28"/>
          <w:szCs w:val="28"/>
        </w:rPr>
        <w:t>.</w:t>
      </w:r>
      <w:r>
        <w:rPr>
          <w:rFonts w:ascii="楷体_GB2312" w:eastAsia="楷体_GB2312" w:hAnsi="宋体" w:cs="宋体" w:hint="eastAsia"/>
          <w:sz w:val="28"/>
          <w:szCs w:val="28"/>
        </w:rPr>
        <w:t>王利明主编：《民法》（第</w:t>
      </w:r>
      <w:r>
        <w:rPr>
          <w:rFonts w:ascii="Calibri" w:eastAsia="楷体_GB2312" w:hAnsi="Calibri" w:cs="宋体" w:hint="eastAsia"/>
          <w:sz w:val="28"/>
          <w:szCs w:val="28"/>
        </w:rPr>
        <w:t>七</w:t>
      </w:r>
      <w:r>
        <w:rPr>
          <w:rFonts w:ascii="楷体_GB2312" w:eastAsia="楷体_GB2312" w:hAnsi="宋体" w:cs="宋体" w:hint="eastAsia"/>
          <w:sz w:val="28"/>
          <w:szCs w:val="28"/>
        </w:rPr>
        <w:t>版）中国人民大学出版社</w:t>
      </w:r>
      <w:r>
        <w:rPr>
          <w:rFonts w:ascii="楷体_GB2312" w:eastAsia="楷体_GB2312" w:hAnsi="宋体" w:cs="宋体" w:hint="eastAsia"/>
          <w:sz w:val="28"/>
          <w:szCs w:val="28"/>
        </w:rPr>
        <w:t>201</w:t>
      </w:r>
      <w:r>
        <w:rPr>
          <w:rFonts w:ascii="楷体_GB2312" w:eastAsia="楷体_GB2312" w:hAnsi="宋体" w:cs="宋体" w:hint="eastAsia"/>
          <w:sz w:val="28"/>
          <w:szCs w:val="28"/>
        </w:rPr>
        <w:t>6</w:t>
      </w:r>
      <w:r>
        <w:rPr>
          <w:rFonts w:ascii="楷体_GB2312" w:eastAsia="楷体_GB2312" w:hAnsi="宋体" w:cs="宋体" w:hint="eastAsia"/>
          <w:sz w:val="28"/>
          <w:szCs w:val="28"/>
        </w:rPr>
        <w:t>年</w:t>
      </w:r>
      <w:r>
        <w:rPr>
          <w:rFonts w:ascii="楷体_GB2312" w:eastAsia="楷体_GB2312" w:hAnsi="宋体" w:cs="宋体" w:hint="eastAsia"/>
          <w:sz w:val="28"/>
          <w:szCs w:val="28"/>
        </w:rPr>
        <w:t>版</w:t>
      </w:r>
      <w:r>
        <w:rPr>
          <w:rFonts w:ascii="楷体_GB2312" w:eastAsia="楷体_GB2312" w:hint="eastAsia"/>
          <w:bCs/>
          <w:sz w:val="28"/>
          <w:szCs w:val="28"/>
        </w:rPr>
        <w:t>。</w:t>
      </w:r>
    </w:p>
    <w:p w:rsidR="0029412A" w:rsidRDefault="00EF5E82">
      <w:pPr>
        <w:widowControl/>
        <w:snapToGrid w:val="0"/>
        <w:spacing w:before="240"/>
        <w:ind w:firstLineChars="147" w:firstLine="412"/>
        <w:outlineLvl w:val="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特别说明：以上参考教材其内容与</w:t>
      </w:r>
      <w:r>
        <w:rPr>
          <w:rFonts w:ascii="楷体_GB2312" w:eastAsia="楷体_GB2312" w:hAnsi="宋体" w:cs="宋体" w:hint="eastAsia"/>
          <w:sz w:val="28"/>
          <w:szCs w:val="28"/>
        </w:rPr>
        <w:t>20</w:t>
      </w:r>
      <w:r>
        <w:rPr>
          <w:rFonts w:ascii="楷体_GB2312" w:eastAsia="楷体_GB2312" w:hAnsi="宋体" w:cs="宋体" w:hint="eastAsia"/>
          <w:sz w:val="28"/>
          <w:szCs w:val="28"/>
        </w:rPr>
        <w:t>20</w:t>
      </w:r>
      <w:r>
        <w:rPr>
          <w:rFonts w:ascii="楷体_GB2312" w:eastAsia="楷体_GB2312" w:hAnsi="宋体" w:cs="宋体" w:hint="eastAsia"/>
          <w:sz w:val="28"/>
          <w:szCs w:val="28"/>
        </w:rPr>
        <w:t>年</w:t>
      </w:r>
      <w:r>
        <w:rPr>
          <w:rFonts w:ascii="楷体_GB2312" w:eastAsia="楷体_GB2312" w:hAnsi="宋体" w:cs="宋体" w:hint="eastAsia"/>
          <w:sz w:val="28"/>
          <w:szCs w:val="28"/>
        </w:rPr>
        <w:t>5</w:t>
      </w:r>
      <w:r>
        <w:rPr>
          <w:rFonts w:ascii="楷体_GB2312" w:eastAsia="楷体_GB2312" w:hAnsi="宋体" w:cs="宋体" w:hint="eastAsia"/>
          <w:sz w:val="28"/>
          <w:szCs w:val="28"/>
        </w:rPr>
        <w:t>月</w:t>
      </w:r>
      <w:r>
        <w:rPr>
          <w:rFonts w:ascii="楷体_GB2312" w:eastAsia="楷体_GB2312" w:hAnsi="宋体" w:cs="宋体" w:hint="eastAsia"/>
          <w:sz w:val="28"/>
          <w:szCs w:val="28"/>
        </w:rPr>
        <w:t>28</w:t>
      </w:r>
      <w:r>
        <w:rPr>
          <w:rFonts w:ascii="楷体_GB2312" w:eastAsia="楷体_GB2312" w:hAnsi="宋体" w:cs="宋体" w:hint="eastAsia"/>
          <w:sz w:val="28"/>
          <w:szCs w:val="28"/>
        </w:rPr>
        <w:t>日通过，</w:t>
      </w:r>
      <w:r>
        <w:rPr>
          <w:rFonts w:ascii="楷体_GB2312" w:eastAsia="楷体_GB2312" w:hAnsi="宋体" w:cs="宋体" w:hint="eastAsia"/>
          <w:sz w:val="28"/>
          <w:szCs w:val="28"/>
        </w:rPr>
        <w:t>20</w:t>
      </w:r>
      <w:r>
        <w:rPr>
          <w:rFonts w:ascii="楷体_GB2312" w:eastAsia="楷体_GB2312" w:hAnsi="宋体" w:cs="宋体" w:hint="eastAsia"/>
          <w:sz w:val="28"/>
          <w:szCs w:val="28"/>
        </w:rPr>
        <w:t>21</w:t>
      </w:r>
      <w:r>
        <w:rPr>
          <w:rFonts w:ascii="楷体_GB2312" w:eastAsia="楷体_GB2312" w:hAnsi="宋体" w:cs="宋体" w:hint="eastAsia"/>
          <w:sz w:val="28"/>
          <w:szCs w:val="28"/>
        </w:rPr>
        <w:t>年</w:t>
      </w:r>
      <w:r>
        <w:rPr>
          <w:rFonts w:ascii="楷体_GB2312" w:eastAsia="楷体_GB2312" w:hAnsi="宋体" w:cs="宋体" w:hint="eastAsia"/>
          <w:sz w:val="28"/>
          <w:szCs w:val="28"/>
        </w:rPr>
        <w:t>1</w:t>
      </w:r>
      <w:r>
        <w:rPr>
          <w:rFonts w:ascii="楷体_GB2312" w:eastAsia="楷体_GB2312" w:hAnsi="宋体" w:cs="宋体" w:hint="eastAsia"/>
          <w:sz w:val="28"/>
          <w:szCs w:val="28"/>
        </w:rPr>
        <w:t>月</w:t>
      </w:r>
      <w:r>
        <w:rPr>
          <w:rFonts w:ascii="楷体_GB2312" w:eastAsia="楷体_GB2312" w:hAnsi="宋体" w:cs="宋体" w:hint="eastAsia"/>
          <w:sz w:val="28"/>
          <w:szCs w:val="28"/>
        </w:rPr>
        <w:t>1</w:t>
      </w:r>
      <w:r>
        <w:rPr>
          <w:rFonts w:ascii="楷体_GB2312" w:eastAsia="楷体_GB2312" w:hAnsi="宋体" w:cs="宋体" w:hint="eastAsia"/>
          <w:sz w:val="28"/>
          <w:szCs w:val="28"/>
        </w:rPr>
        <w:t>日起施行的《中华人民共和国民法</w:t>
      </w:r>
      <w:r>
        <w:rPr>
          <w:rFonts w:ascii="楷体_GB2312" w:eastAsia="楷体_GB2312" w:hAnsi="宋体" w:cs="宋体" w:hint="eastAsia"/>
          <w:sz w:val="28"/>
          <w:szCs w:val="28"/>
        </w:rPr>
        <w:t>典</w:t>
      </w:r>
      <w:r>
        <w:rPr>
          <w:rFonts w:ascii="楷体_GB2312" w:eastAsia="楷体_GB2312" w:hAnsi="宋体" w:cs="宋体" w:hint="eastAsia"/>
          <w:sz w:val="28"/>
          <w:szCs w:val="28"/>
        </w:rPr>
        <w:t>》规定存在不一致的，以《中华人民共和国民法</w:t>
      </w:r>
      <w:r>
        <w:rPr>
          <w:rFonts w:ascii="楷体_GB2312" w:eastAsia="楷体_GB2312" w:hAnsi="宋体" w:cs="宋体" w:hint="eastAsia"/>
          <w:sz w:val="28"/>
          <w:szCs w:val="28"/>
        </w:rPr>
        <w:t>典</w:t>
      </w:r>
      <w:r>
        <w:rPr>
          <w:rFonts w:ascii="楷体_GB2312" w:eastAsia="楷体_GB2312" w:hAnsi="宋体" w:cs="宋体" w:hint="eastAsia"/>
          <w:sz w:val="28"/>
          <w:szCs w:val="28"/>
        </w:rPr>
        <w:t>》的规定为准。</w:t>
      </w:r>
    </w:p>
    <w:p w:rsidR="0029412A" w:rsidRDefault="0029412A">
      <w:pPr>
        <w:spacing w:line="360" w:lineRule="auto"/>
        <w:rPr>
          <w:rFonts w:ascii="楷体_GB2312" w:eastAsia="楷体_GB2312" w:hAnsi="宋体"/>
          <w:sz w:val="28"/>
          <w:szCs w:val="28"/>
        </w:rPr>
      </w:pPr>
    </w:p>
    <w:p w:rsidR="0029412A" w:rsidRDefault="00EF5E82">
      <w:pPr>
        <w:widowControl/>
        <w:snapToGrid w:val="0"/>
        <w:spacing w:line="360" w:lineRule="auto"/>
        <w:jc w:val="center"/>
        <w:rPr>
          <w:rFonts w:ascii="楷体_GB2312" w:eastAsia="楷体_GB2312" w:hAnsi="宋体" w:cs="宋体"/>
          <w:b/>
          <w:sz w:val="36"/>
        </w:rPr>
      </w:pPr>
      <w:r>
        <w:rPr>
          <w:rFonts w:ascii="楷体_GB2312" w:eastAsia="楷体_GB2312" w:hAnsi="宋体" w:cs="宋体" w:hint="eastAsia"/>
          <w:b/>
          <w:sz w:val="36"/>
        </w:rPr>
        <w:t>《</w:t>
      </w:r>
      <w:r>
        <w:rPr>
          <w:rFonts w:ascii="楷体_GB2312" w:eastAsia="楷体_GB2312" w:hint="eastAsia"/>
          <w:b/>
          <w:sz w:val="36"/>
          <w:szCs w:val="36"/>
        </w:rPr>
        <w:t>刑法学》（</w:t>
      </w:r>
      <w:r>
        <w:rPr>
          <w:rFonts w:ascii="楷体_GB2312" w:eastAsia="楷体_GB2312" w:hint="eastAsia"/>
          <w:b/>
          <w:sz w:val="36"/>
          <w:szCs w:val="36"/>
        </w:rPr>
        <w:t>50</w:t>
      </w:r>
      <w:r>
        <w:rPr>
          <w:rFonts w:ascii="楷体_GB2312" w:eastAsia="楷体_GB2312" w:hint="eastAsia"/>
          <w:b/>
          <w:sz w:val="36"/>
          <w:szCs w:val="36"/>
        </w:rPr>
        <w:t>分）科目考试大纲</w:t>
      </w:r>
    </w:p>
    <w:p w:rsidR="0029412A" w:rsidRDefault="00EF5E82">
      <w:pPr>
        <w:widowControl/>
        <w:snapToGrid w:val="0"/>
        <w:spacing w:before="240"/>
        <w:ind w:firstLineChars="200" w:firstLine="562"/>
        <w:outlineLvl w:val="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一、</w:t>
      </w:r>
      <w:r>
        <w:rPr>
          <w:rFonts w:ascii="楷体_GB2312" w:eastAsia="楷体_GB2312" w:hint="eastAsia"/>
          <w:b/>
          <w:bCs/>
          <w:sz w:val="28"/>
          <w:szCs w:val="28"/>
        </w:rPr>
        <w:t>涵盖范围及基本内容</w:t>
      </w:r>
    </w:p>
    <w:p w:rsidR="0029412A" w:rsidRDefault="00EF5E82">
      <w:pPr>
        <w:widowControl/>
        <w:snapToGrid w:val="0"/>
        <w:spacing w:before="24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 xml:space="preserve">  </w:t>
      </w:r>
      <w:r>
        <w:rPr>
          <w:rFonts w:ascii="楷体_GB2312" w:eastAsia="楷体_GB2312" w:hint="eastAsia"/>
          <w:bCs/>
          <w:sz w:val="28"/>
          <w:szCs w:val="28"/>
        </w:rPr>
        <w:t xml:space="preserve"> </w:t>
      </w:r>
      <w:r>
        <w:rPr>
          <w:rFonts w:ascii="楷体_GB2312" w:eastAsia="楷体_GB2312" w:hint="eastAsia"/>
          <w:bCs/>
          <w:sz w:val="28"/>
          <w:szCs w:val="28"/>
        </w:rPr>
        <w:t>（一）刑法基础理论</w:t>
      </w:r>
    </w:p>
    <w:p w:rsidR="0029412A" w:rsidRDefault="00EF5E82">
      <w:pPr>
        <w:widowControl/>
        <w:snapToGrid w:val="0"/>
        <w:spacing w:before="24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 xml:space="preserve">    </w:t>
      </w:r>
      <w:r>
        <w:rPr>
          <w:rFonts w:ascii="楷体_GB2312" w:eastAsia="楷体_GB2312" w:hint="eastAsia"/>
          <w:bCs/>
          <w:sz w:val="28"/>
          <w:szCs w:val="28"/>
        </w:rPr>
        <w:t>刑法概念；刑法的基本原则；刑法的效力；刑法解释技巧和理由</w:t>
      </w:r>
    </w:p>
    <w:p w:rsidR="0029412A" w:rsidRDefault="00EF5E82">
      <w:pPr>
        <w:widowControl/>
        <w:snapToGrid w:val="0"/>
        <w:spacing w:before="240"/>
        <w:ind w:firstLineChars="147" w:firstLine="412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（二）犯罪论</w:t>
      </w:r>
    </w:p>
    <w:p w:rsidR="0029412A" w:rsidRDefault="00EF5E82">
      <w:pPr>
        <w:widowControl/>
        <w:snapToGrid w:val="0"/>
        <w:spacing w:before="24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 xml:space="preserve">   </w:t>
      </w:r>
      <w:r>
        <w:rPr>
          <w:rFonts w:ascii="楷体_GB2312" w:eastAsia="楷体_GB2312" w:hint="eastAsia"/>
          <w:bCs/>
          <w:sz w:val="28"/>
          <w:szCs w:val="28"/>
        </w:rPr>
        <w:t>犯罪的概说；犯罪构成要件理论；违法构成要件；违法阻却事由；责任要件；责任阻却事由；犯罪的特殊形态；共同犯罪；罪数</w:t>
      </w:r>
    </w:p>
    <w:p w:rsidR="0029412A" w:rsidRDefault="00EF5E82">
      <w:pPr>
        <w:widowControl/>
        <w:snapToGrid w:val="0"/>
        <w:spacing w:before="240"/>
        <w:ind w:firstLineChars="146" w:firstLine="409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（三）刑罚论</w:t>
      </w:r>
    </w:p>
    <w:p w:rsidR="0029412A" w:rsidRDefault="00EF5E82">
      <w:pPr>
        <w:widowControl/>
        <w:snapToGrid w:val="0"/>
        <w:spacing w:before="240"/>
        <w:ind w:firstLineChars="146" w:firstLine="409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刑罚观念；刑罚体系；刑罚裁量；刑罚的执行；非刑罚的法律后果；法律后果的消灭</w:t>
      </w:r>
      <w:r>
        <w:rPr>
          <w:rFonts w:ascii="楷体_GB2312" w:eastAsia="楷体_GB2312" w:hint="eastAsia"/>
          <w:bCs/>
          <w:sz w:val="28"/>
          <w:szCs w:val="28"/>
        </w:rPr>
        <w:t xml:space="preserve">   </w:t>
      </w:r>
    </w:p>
    <w:p w:rsidR="0029412A" w:rsidRDefault="00EF5E82">
      <w:pPr>
        <w:widowControl/>
        <w:snapToGrid w:val="0"/>
        <w:spacing w:before="240"/>
        <w:ind w:firstLineChars="147" w:firstLine="412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（四）刑法分论</w:t>
      </w:r>
    </w:p>
    <w:p w:rsidR="0029412A" w:rsidRDefault="00EF5E82">
      <w:pPr>
        <w:widowControl/>
        <w:snapToGrid w:val="0"/>
        <w:spacing w:before="240"/>
        <w:ind w:firstLineChars="147" w:firstLine="412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危害国家安全罪；危害公共安全罪；侵犯公民人身权利罪；破坏社会主义市场经济秩序罪；侵犯财产罪；妨害社会管理秩序罪；贪污贿赂罪；渎职罪</w:t>
      </w:r>
    </w:p>
    <w:p w:rsidR="0029412A" w:rsidRDefault="00EF5E82">
      <w:pPr>
        <w:widowControl/>
        <w:snapToGrid w:val="0"/>
        <w:spacing w:before="240" w:line="360" w:lineRule="auto"/>
        <w:ind w:firstLineChars="200" w:firstLine="643"/>
        <w:outlineLvl w:val="0"/>
        <w:rPr>
          <w:rFonts w:ascii="楷体_GB2312" w:eastAsia="楷体_GB2312" w:hAnsi="宋体" w:cs="宋体"/>
          <w:b/>
          <w:sz w:val="32"/>
        </w:rPr>
      </w:pPr>
      <w:r>
        <w:rPr>
          <w:rFonts w:ascii="楷体_GB2312" w:eastAsia="楷体_GB2312" w:hAnsi="宋体" w:cs="宋体" w:hint="eastAsia"/>
          <w:b/>
          <w:sz w:val="32"/>
        </w:rPr>
        <w:t>二、主要参考教材</w:t>
      </w:r>
    </w:p>
    <w:p w:rsidR="0029412A" w:rsidRDefault="00EF5E82">
      <w:pPr>
        <w:widowControl/>
        <w:snapToGrid w:val="0"/>
        <w:spacing w:before="240"/>
        <w:ind w:firstLineChars="200" w:firstLine="560"/>
        <w:outlineLvl w:val="0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1.</w:t>
      </w:r>
      <w:r>
        <w:rPr>
          <w:rFonts w:ascii="楷体_GB2312" w:eastAsia="楷体_GB2312" w:hint="eastAsia"/>
          <w:bCs/>
          <w:sz w:val="28"/>
          <w:szCs w:val="28"/>
        </w:rPr>
        <w:t>《刑</w:t>
      </w:r>
      <w:r>
        <w:rPr>
          <w:rFonts w:ascii="楷体_GB2312" w:eastAsia="楷体_GB2312" w:hint="eastAsia"/>
          <w:bCs/>
          <w:sz w:val="28"/>
          <w:szCs w:val="28"/>
        </w:rPr>
        <w:t>法学</w:t>
      </w:r>
      <w:r>
        <w:rPr>
          <w:rFonts w:ascii="楷体_GB2312" w:eastAsia="楷体_GB2312" w:hint="eastAsia"/>
          <w:bCs/>
          <w:sz w:val="28"/>
          <w:szCs w:val="28"/>
        </w:rPr>
        <w:t>》</w:t>
      </w:r>
      <w:r>
        <w:rPr>
          <w:rFonts w:ascii="楷体_GB2312" w:eastAsia="楷体_GB2312" w:hint="eastAsia"/>
          <w:bCs/>
          <w:sz w:val="28"/>
          <w:szCs w:val="28"/>
        </w:rPr>
        <w:t>编写组：《</w:t>
      </w:r>
      <w:r>
        <w:rPr>
          <w:rFonts w:ascii="楷体_GB2312" w:eastAsia="楷体_GB2312" w:hint="eastAsia"/>
          <w:bCs/>
          <w:sz w:val="28"/>
          <w:szCs w:val="28"/>
        </w:rPr>
        <w:t>刑法</w:t>
      </w:r>
      <w:r>
        <w:rPr>
          <w:rFonts w:ascii="楷体_GB2312" w:eastAsia="楷体_GB2312" w:hint="eastAsia"/>
          <w:bCs/>
          <w:sz w:val="28"/>
          <w:szCs w:val="28"/>
        </w:rPr>
        <w:t>学》，高等教育出版社</w:t>
      </w:r>
      <w:r>
        <w:rPr>
          <w:rFonts w:ascii="楷体_GB2312" w:eastAsia="楷体_GB2312" w:hint="eastAsia"/>
          <w:bCs/>
          <w:sz w:val="28"/>
          <w:szCs w:val="28"/>
        </w:rPr>
        <w:t>201</w:t>
      </w:r>
      <w:r>
        <w:rPr>
          <w:rFonts w:ascii="楷体_GB2312" w:eastAsia="楷体_GB2312" w:hint="eastAsia"/>
          <w:bCs/>
          <w:sz w:val="28"/>
          <w:szCs w:val="28"/>
        </w:rPr>
        <w:t>9</w:t>
      </w:r>
      <w:r>
        <w:rPr>
          <w:rFonts w:ascii="楷体_GB2312" w:eastAsia="楷体_GB2312" w:hint="eastAsia"/>
          <w:bCs/>
          <w:sz w:val="28"/>
          <w:szCs w:val="28"/>
        </w:rPr>
        <w:t>年版</w:t>
      </w:r>
      <w:r>
        <w:rPr>
          <w:rFonts w:ascii="楷体_GB2312" w:eastAsia="楷体_GB2312" w:hAnsi="宋体" w:cs="宋体" w:hint="eastAsia"/>
          <w:sz w:val="28"/>
          <w:szCs w:val="28"/>
        </w:rPr>
        <w:t>；</w:t>
      </w:r>
    </w:p>
    <w:p w:rsidR="0029412A" w:rsidRDefault="00EF5E82">
      <w:pPr>
        <w:widowControl/>
        <w:snapToGrid w:val="0"/>
        <w:spacing w:line="360" w:lineRule="auto"/>
        <w:ind w:firstLineChars="200" w:firstLine="56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2.</w:t>
      </w:r>
      <w:r>
        <w:rPr>
          <w:rFonts w:ascii="楷体_GB2312" w:eastAsia="楷体_GB2312" w:hAnsi="宋体" w:cs="宋体" w:hint="eastAsia"/>
          <w:sz w:val="28"/>
          <w:szCs w:val="28"/>
        </w:rPr>
        <w:t>张明楷：《刑法学》（上、下册）（第五版），法律出版社</w:t>
      </w:r>
      <w:r>
        <w:rPr>
          <w:rFonts w:ascii="楷体_GB2312" w:eastAsia="楷体_GB2312" w:hAnsi="宋体" w:cs="宋体" w:hint="eastAsia"/>
          <w:sz w:val="28"/>
          <w:szCs w:val="28"/>
        </w:rPr>
        <w:t>2016</w:t>
      </w:r>
      <w:r>
        <w:rPr>
          <w:rFonts w:ascii="楷体_GB2312" w:eastAsia="楷体_GB2312" w:hAnsi="宋体" w:cs="宋体" w:hint="eastAsia"/>
          <w:sz w:val="28"/>
          <w:szCs w:val="28"/>
        </w:rPr>
        <w:t>年版</w:t>
      </w:r>
      <w:r>
        <w:rPr>
          <w:rFonts w:ascii="楷体_GB2312" w:eastAsia="楷体_GB2312" w:hint="eastAsia"/>
          <w:bCs/>
          <w:sz w:val="28"/>
          <w:szCs w:val="28"/>
        </w:rPr>
        <w:t>。</w:t>
      </w:r>
    </w:p>
    <w:p w:rsidR="0029412A" w:rsidRDefault="0029412A">
      <w:pPr>
        <w:widowControl/>
        <w:snapToGrid w:val="0"/>
        <w:spacing w:before="240"/>
        <w:ind w:firstLineChars="147" w:firstLine="412"/>
        <w:outlineLvl w:val="0"/>
        <w:rPr>
          <w:rFonts w:ascii="楷体_GB2312" w:eastAsia="楷体_GB2312" w:hAnsi="宋体" w:cs="宋体"/>
          <w:sz w:val="28"/>
          <w:szCs w:val="28"/>
        </w:rPr>
      </w:pPr>
    </w:p>
    <w:p w:rsidR="0029412A" w:rsidRDefault="0029412A">
      <w:pPr>
        <w:widowControl/>
        <w:snapToGrid w:val="0"/>
        <w:spacing w:line="360" w:lineRule="auto"/>
        <w:jc w:val="center"/>
        <w:rPr>
          <w:rFonts w:ascii="楷体_GB2312" w:eastAsia="楷体_GB2312" w:hAnsi="宋体" w:cs="宋体"/>
          <w:b/>
          <w:sz w:val="36"/>
        </w:rPr>
      </w:pPr>
    </w:p>
    <w:p w:rsidR="0029412A" w:rsidRDefault="00EF5E82">
      <w:pPr>
        <w:widowControl/>
        <w:snapToGrid w:val="0"/>
        <w:spacing w:line="360" w:lineRule="auto"/>
        <w:jc w:val="center"/>
        <w:rPr>
          <w:rFonts w:ascii="楷体_GB2312" w:eastAsia="楷体_GB2312" w:hAnsi="宋体" w:cs="宋体"/>
          <w:b/>
          <w:sz w:val="36"/>
        </w:rPr>
      </w:pPr>
      <w:r>
        <w:rPr>
          <w:rFonts w:ascii="楷体_GB2312" w:eastAsia="楷体_GB2312" w:hAnsi="宋体" w:cs="宋体" w:hint="eastAsia"/>
          <w:b/>
          <w:sz w:val="36"/>
        </w:rPr>
        <w:t>《</w:t>
      </w:r>
      <w:r>
        <w:rPr>
          <w:rFonts w:ascii="楷体_GB2312" w:eastAsia="楷体_GB2312" w:hint="eastAsia"/>
          <w:b/>
          <w:sz w:val="36"/>
          <w:szCs w:val="36"/>
        </w:rPr>
        <w:t>经济法学》科目考试大纲（</w:t>
      </w:r>
      <w:r>
        <w:rPr>
          <w:rFonts w:ascii="楷体_GB2312" w:eastAsia="楷体_GB2312" w:hint="eastAsia"/>
          <w:b/>
          <w:sz w:val="36"/>
          <w:szCs w:val="36"/>
        </w:rPr>
        <w:t>50</w:t>
      </w:r>
      <w:r>
        <w:rPr>
          <w:rFonts w:ascii="楷体_GB2312" w:eastAsia="楷体_GB2312" w:hint="eastAsia"/>
          <w:b/>
          <w:sz w:val="36"/>
          <w:szCs w:val="36"/>
        </w:rPr>
        <w:t>分）</w:t>
      </w:r>
    </w:p>
    <w:p w:rsidR="0029412A" w:rsidRDefault="00EF5E82">
      <w:pPr>
        <w:widowControl/>
        <w:snapToGrid w:val="0"/>
        <w:spacing w:line="360" w:lineRule="auto"/>
        <w:ind w:firstLineChars="200" w:firstLine="562"/>
        <w:outlineLvl w:val="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一、涵盖范围及基本内容</w:t>
      </w:r>
    </w:p>
    <w:p w:rsidR="0029412A" w:rsidRDefault="00EF5E82">
      <w:pPr>
        <w:widowControl/>
        <w:snapToGrid w:val="0"/>
        <w:spacing w:line="360" w:lineRule="auto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 xml:space="preserve">   </w:t>
      </w:r>
      <w:r>
        <w:rPr>
          <w:rFonts w:ascii="楷体_GB2312" w:eastAsia="楷体_GB2312" w:hint="eastAsia"/>
          <w:bCs/>
          <w:sz w:val="28"/>
          <w:szCs w:val="28"/>
        </w:rPr>
        <w:t>（一）经济法总论</w:t>
      </w:r>
    </w:p>
    <w:p w:rsidR="0029412A" w:rsidRDefault="00EF5E82">
      <w:pPr>
        <w:widowControl/>
        <w:snapToGrid w:val="0"/>
        <w:spacing w:line="360" w:lineRule="auto"/>
        <w:ind w:firstLineChars="200" w:firstLine="56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经济法学的研究对象；</w:t>
      </w:r>
      <w:r>
        <w:rPr>
          <w:rFonts w:ascii="楷体_GB2312" w:eastAsia="楷体_GB2312"/>
          <w:bCs/>
          <w:sz w:val="28"/>
          <w:szCs w:val="28"/>
        </w:rPr>
        <w:t>经济法学的产生</w:t>
      </w:r>
      <w:r>
        <w:rPr>
          <w:rFonts w:ascii="楷体_GB2312" w:eastAsia="楷体_GB2312" w:hint="eastAsia"/>
          <w:bCs/>
          <w:sz w:val="28"/>
          <w:szCs w:val="28"/>
        </w:rPr>
        <w:t>和发展；</w:t>
      </w:r>
      <w:r>
        <w:rPr>
          <w:rFonts w:ascii="楷体_GB2312" w:eastAsia="楷体_GB2312"/>
          <w:bCs/>
          <w:sz w:val="28"/>
          <w:szCs w:val="28"/>
        </w:rPr>
        <w:t>经济法的概念</w:t>
      </w:r>
      <w:r>
        <w:rPr>
          <w:rFonts w:ascii="楷体_GB2312" w:eastAsia="楷体_GB2312" w:hint="eastAsia"/>
          <w:bCs/>
          <w:sz w:val="28"/>
          <w:szCs w:val="28"/>
        </w:rPr>
        <w:t>；</w:t>
      </w:r>
      <w:r>
        <w:rPr>
          <w:rFonts w:ascii="楷体_GB2312" w:eastAsia="楷体_GB2312"/>
          <w:bCs/>
          <w:sz w:val="28"/>
          <w:szCs w:val="28"/>
        </w:rPr>
        <w:t>经济法的体系</w:t>
      </w:r>
      <w:r>
        <w:rPr>
          <w:rFonts w:ascii="楷体_GB2312" w:eastAsia="楷体_GB2312" w:hint="eastAsia"/>
          <w:bCs/>
          <w:sz w:val="28"/>
          <w:szCs w:val="28"/>
        </w:rPr>
        <w:t>；</w:t>
      </w:r>
      <w:r>
        <w:rPr>
          <w:rFonts w:ascii="楷体_GB2312" w:eastAsia="楷体_GB2312"/>
          <w:bCs/>
          <w:sz w:val="28"/>
          <w:szCs w:val="28"/>
        </w:rPr>
        <w:t>经济法的</w:t>
      </w:r>
      <w:r>
        <w:rPr>
          <w:rFonts w:ascii="楷体_GB2312" w:eastAsia="楷体_GB2312" w:hint="eastAsia"/>
          <w:bCs/>
          <w:sz w:val="28"/>
          <w:szCs w:val="28"/>
        </w:rPr>
        <w:t>基本</w:t>
      </w:r>
      <w:r>
        <w:rPr>
          <w:rFonts w:ascii="楷体_GB2312" w:eastAsia="楷体_GB2312"/>
          <w:bCs/>
          <w:sz w:val="28"/>
          <w:szCs w:val="28"/>
        </w:rPr>
        <w:t>原则</w:t>
      </w:r>
      <w:r>
        <w:rPr>
          <w:rFonts w:ascii="楷体_GB2312" w:eastAsia="楷体_GB2312" w:hint="eastAsia"/>
          <w:bCs/>
          <w:sz w:val="28"/>
          <w:szCs w:val="28"/>
        </w:rPr>
        <w:t>和宗旨；</w:t>
      </w:r>
      <w:r>
        <w:rPr>
          <w:rFonts w:ascii="楷体_GB2312" w:eastAsia="楷体_GB2312"/>
          <w:bCs/>
          <w:sz w:val="28"/>
          <w:szCs w:val="28"/>
        </w:rPr>
        <w:t>经济法主体</w:t>
      </w:r>
      <w:r>
        <w:rPr>
          <w:rFonts w:ascii="楷体_GB2312" w:eastAsia="楷体_GB2312" w:hint="eastAsia"/>
          <w:bCs/>
          <w:sz w:val="28"/>
          <w:szCs w:val="28"/>
        </w:rPr>
        <w:t>；经济法</w:t>
      </w:r>
      <w:r>
        <w:rPr>
          <w:rFonts w:ascii="楷体_GB2312" w:eastAsia="楷体_GB2312"/>
          <w:bCs/>
          <w:sz w:val="28"/>
          <w:szCs w:val="28"/>
        </w:rPr>
        <w:t>行为</w:t>
      </w:r>
      <w:r>
        <w:rPr>
          <w:rFonts w:ascii="楷体_GB2312" w:eastAsia="楷体_GB2312" w:hint="eastAsia"/>
          <w:bCs/>
          <w:sz w:val="28"/>
          <w:szCs w:val="28"/>
        </w:rPr>
        <w:t>；经济法的价值取向；经济法的基本功能；经济法律关系。</w:t>
      </w:r>
    </w:p>
    <w:p w:rsidR="0029412A" w:rsidRDefault="00EF5E82">
      <w:pPr>
        <w:widowControl/>
        <w:snapToGrid w:val="0"/>
        <w:spacing w:line="360" w:lineRule="auto"/>
        <w:ind w:firstLineChars="200" w:firstLine="56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（二）宏观调控法律制度</w:t>
      </w:r>
    </w:p>
    <w:p w:rsidR="0029412A" w:rsidRDefault="00EF5E82">
      <w:pPr>
        <w:widowControl/>
        <w:snapToGrid w:val="0"/>
        <w:spacing w:line="360" w:lineRule="auto"/>
        <w:ind w:firstLineChars="200" w:firstLine="56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宏观调控法概述；金融调控法律制度；价格调控法律制度；财税调控法律制度；计划调控法律制度；金融监管法律制度。</w:t>
      </w:r>
      <w:r>
        <w:rPr>
          <w:rFonts w:ascii="楷体_GB2312" w:eastAsia="楷体_GB2312" w:hint="eastAsia"/>
          <w:bCs/>
          <w:sz w:val="28"/>
          <w:szCs w:val="28"/>
        </w:rPr>
        <w:t xml:space="preserve">  </w:t>
      </w:r>
    </w:p>
    <w:p w:rsidR="0029412A" w:rsidRDefault="00EF5E82">
      <w:pPr>
        <w:widowControl/>
        <w:snapToGrid w:val="0"/>
        <w:spacing w:line="360" w:lineRule="auto"/>
        <w:ind w:firstLineChars="200" w:firstLine="56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（三）市场规制法律制度</w:t>
      </w:r>
    </w:p>
    <w:p w:rsidR="0029412A" w:rsidRDefault="00EF5E82">
      <w:pPr>
        <w:widowControl/>
        <w:snapToGrid w:val="0"/>
        <w:spacing w:line="360" w:lineRule="auto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 xml:space="preserve">    </w:t>
      </w:r>
      <w:r>
        <w:rPr>
          <w:rFonts w:ascii="楷体_GB2312" w:eastAsia="楷体_GB2312" w:hint="eastAsia"/>
          <w:bCs/>
          <w:sz w:val="28"/>
          <w:szCs w:val="28"/>
        </w:rPr>
        <w:t>市场规制法概论</w:t>
      </w:r>
      <w:r>
        <w:rPr>
          <w:rFonts w:ascii="楷体_GB2312" w:eastAsia="楷体_GB2312" w:hint="eastAsia"/>
          <w:bCs/>
          <w:sz w:val="28"/>
          <w:szCs w:val="28"/>
        </w:rPr>
        <w:t xml:space="preserve"> </w:t>
      </w:r>
      <w:r>
        <w:rPr>
          <w:rFonts w:ascii="楷体_GB2312" w:eastAsia="楷体_GB2312" w:hint="eastAsia"/>
          <w:bCs/>
          <w:sz w:val="28"/>
          <w:szCs w:val="28"/>
        </w:rPr>
        <w:t>；产品的定义；产品质量；产品质量监督管理制度；产品质量责任；消费者；消费者权利；经营者义务；不正当竞争行为及其认定和责任；反垄断法；广告法。</w:t>
      </w:r>
    </w:p>
    <w:p w:rsidR="0029412A" w:rsidRDefault="00EF5E82">
      <w:pPr>
        <w:widowControl/>
        <w:snapToGrid w:val="0"/>
        <w:spacing w:line="360" w:lineRule="auto"/>
        <w:ind w:firstLineChars="150" w:firstLine="422"/>
        <w:outlineLvl w:val="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二、参考教材</w:t>
      </w:r>
    </w:p>
    <w:p w:rsidR="0029412A" w:rsidRDefault="00EF5E82">
      <w:pPr>
        <w:widowControl/>
        <w:snapToGrid w:val="0"/>
        <w:spacing w:line="360" w:lineRule="auto"/>
        <w:ind w:firstLineChars="200" w:firstLine="56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（一）</w:t>
      </w:r>
      <w:r>
        <w:rPr>
          <w:rFonts w:ascii="楷体_GB2312" w:eastAsia="楷体_GB2312" w:hint="eastAsia"/>
          <w:bCs/>
          <w:sz w:val="28"/>
          <w:szCs w:val="28"/>
        </w:rPr>
        <w:t>《</w:t>
      </w:r>
      <w:r>
        <w:rPr>
          <w:rFonts w:ascii="楷体_GB2312" w:eastAsia="楷体_GB2312" w:hint="eastAsia"/>
          <w:bCs/>
          <w:sz w:val="28"/>
          <w:szCs w:val="28"/>
        </w:rPr>
        <w:t>经济法学</w:t>
      </w:r>
      <w:r>
        <w:rPr>
          <w:rFonts w:ascii="楷体_GB2312" w:eastAsia="楷体_GB2312" w:hint="eastAsia"/>
          <w:bCs/>
          <w:sz w:val="28"/>
          <w:szCs w:val="28"/>
        </w:rPr>
        <w:t>》</w:t>
      </w:r>
      <w:r>
        <w:rPr>
          <w:rFonts w:ascii="楷体_GB2312" w:eastAsia="楷体_GB2312" w:hint="eastAsia"/>
          <w:bCs/>
          <w:sz w:val="28"/>
          <w:szCs w:val="28"/>
        </w:rPr>
        <w:t>编写组：《经济法学》，高等教育出版社</w:t>
      </w:r>
      <w:r>
        <w:rPr>
          <w:rFonts w:ascii="楷体_GB2312" w:eastAsia="楷体_GB2312" w:hint="eastAsia"/>
          <w:bCs/>
          <w:sz w:val="28"/>
          <w:szCs w:val="28"/>
        </w:rPr>
        <w:t>2016</w:t>
      </w:r>
      <w:r>
        <w:rPr>
          <w:rFonts w:ascii="楷体_GB2312" w:eastAsia="楷体_GB2312" w:hint="eastAsia"/>
          <w:bCs/>
          <w:sz w:val="28"/>
          <w:szCs w:val="28"/>
        </w:rPr>
        <w:t>年第一版</w:t>
      </w:r>
      <w:r>
        <w:rPr>
          <w:rFonts w:ascii="楷体_GB2312" w:eastAsia="楷体_GB2312" w:hint="eastAsia"/>
          <w:bCs/>
          <w:sz w:val="28"/>
          <w:szCs w:val="28"/>
        </w:rPr>
        <w:t>；</w:t>
      </w:r>
    </w:p>
    <w:p w:rsidR="0029412A" w:rsidRDefault="00EF5E82">
      <w:pPr>
        <w:widowControl/>
        <w:snapToGrid w:val="0"/>
        <w:spacing w:line="360" w:lineRule="auto"/>
        <w:ind w:firstLineChars="200" w:firstLine="56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（二）李昌麒主编：《经济法学》，法律出版社</w:t>
      </w:r>
      <w:r>
        <w:rPr>
          <w:rFonts w:ascii="楷体_GB2312" w:eastAsia="楷体_GB2312" w:hint="eastAsia"/>
          <w:bCs/>
          <w:sz w:val="28"/>
          <w:szCs w:val="28"/>
        </w:rPr>
        <w:t>2016</w:t>
      </w:r>
      <w:r>
        <w:rPr>
          <w:rFonts w:ascii="楷体_GB2312" w:eastAsia="楷体_GB2312" w:hint="eastAsia"/>
          <w:bCs/>
          <w:sz w:val="28"/>
          <w:szCs w:val="28"/>
        </w:rPr>
        <w:t>年第三版。</w:t>
      </w:r>
    </w:p>
    <w:p w:rsidR="0029412A" w:rsidRDefault="0029412A"/>
    <w:sectPr w:rsidR="00294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E82" w:rsidRDefault="00EF5E82" w:rsidP="00615753">
      <w:r>
        <w:separator/>
      </w:r>
    </w:p>
  </w:endnote>
  <w:endnote w:type="continuationSeparator" w:id="0">
    <w:p w:rsidR="00EF5E82" w:rsidRDefault="00EF5E82" w:rsidP="0061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E82" w:rsidRDefault="00EF5E82" w:rsidP="00615753">
      <w:r>
        <w:separator/>
      </w:r>
    </w:p>
  </w:footnote>
  <w:footnote w:type="continuationSeparator" w:id="0">
    <w:p w:rsidR="00EF5E82" w:rsidRDefault="00EF5E82" w:rsidP="0061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E2CE6"/>
    <w:rsid w:val="0029412A"/>
    <w:rsid w:val="00615753"/>
    <w:rsid w:val="00A33142"/>
    <w:rsid w:val="00EF5E82"/>
    <w:rsid w:val="07C85D4A"/>
    <w:rsid w:val="0C3E2CE6"/>
    <w:rsid w:val="124D33AA"/>
    <w:rsid w:val="1CB9612A"/>
    <w:rsid w:val="2A800131"/>
    <w:rsid w:val="2A9C43AF"/>
    <w:rsid w:val="30CF1823"/>
    <w:rsid w:val="3CE54A65"/>
    <w:rsid w:val="49F76D0A"/>
    <w:rsid w:val="59C7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8B9E5"/>
  <w15:docId w15:val="{E4F75F8D-82FD-47E1-8B5C-76ABEAA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5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157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15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157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Yale Fang</cp:lastModifiedBy>
  <cp:revision>3</cp:revision>
  <cp:lastPrinted>2020-08-31T01:39:00Z</cp:lastPrinted>
  <dcterms:created xsi:type="dcterms:W3CDTF">2017-09-01T02:00:00Z</dcterms:created>
  <dcterms:modified xsi:type="dcterms:W3CDTF">2020-09-15T04:01:00Z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