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hint="eastAsia" w:ascii="宋体"/>
          <w:b/>
          <w:color w:val="000000" w:themeColor="text1"/>
          <w:sz w:val="32"/>
          <w:szCs w:val="32"/>
        </w:rPr>
        <w:t>塔里木大学硕士研究生入学考试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32"/>
          <w:szCs w:val="32"/>
        </w:rPr>
      </w:pPr>
      <w:r>
        <w:rPr>
          <w:rFonts w:hint="eastAsia" w:ascii="宋体" w:hAnsi="宋体" w:cs="Arial"/>
          <w:b/>
          <w:color w:val="000000" w:themeColor="text1"/>
          <w:kern w:val="0"/>
          <w:sz w:val="32"/>
          <w:szCs w:val="32"/>
        </w:rPr>
        <w:t>《作物栽培学》考试大纲</w:t>
      </w: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color w:val="000000" w:themeColor="text1"/>
          <w:kern w:val="0"/>
          <w:sz w:val="24"/>
        </w:rPr>
        <w:t>第一部分   考试说明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一、考查目标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《作物栽培学》侧重于作物栽培综合知识考查，要求考生理解和掌握主要作物生长发育、作物产量和品质形成、作物与环境的关系等理论基础和作物的栽培技术与措施，能够运用基本原理和方法分析、判断和解决有关实际问题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二、适用范围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适用于农业硕士农艺与种业领域作物方向的考生。</w:t>
      </w:r>
    </w:p>
    <w:p>
      <w:pPr>
        <w:widowControl/>
        <w:spacing w:line="360" w:lineRule="auto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三、考试形式和试卷结构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1、试卷满分及考试时间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本试卷满分为150分，考试时间为180分钟。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2、答题方式及要求</w:t>
      </w:r>
    </w:p>
    <w:p>
      <w:pPr>
        <w:widowControl/>
        <w:spacing w:line="360" w:lineRule="auto"/>
        <w:ind w:firstLine="480" w:firstLineChars="200"/>
        <w:rPr>
          <w:rFonts w:ascii="Arial" w:hAnsi="Arial" w:cs="Arial"/>
          <w:color w:val="000000" w:themeColor="text1"/>
          <w:kern w:val="0"/>
          <w:sz w:val="24"/>
        </w:rPr>
      </w:pPr>
      <w:r>
        <w:rPr>
          <w:rFonts w:hint="eastAsia" w:ascii="Arial" w:hAnsi="Arial" w:cs="Arial"/>
          <w:color w:val="000000" w:themeColor="text1"/>
          <w:kern w:val="0"/>
          <w:sz w:val="24"/>
        </w:rPr>
        <w:t>闭卷、笔试。</w:t>
      </w:r>
      <w:r>
        <w:rPr>
          <w:rFonts w:hAnsi="宋体"/>
          <w:color w:val="000000" w:themeColor="text1"/>
          <w:sz w:val="24"/>
        </w:rPr>
        <w:t>所有答案均写在答题纸上，</w:t>
      </w:r>
      <w:r>
        <w:rPr>
          <w:rFonts w:hint="eastAsia" w:ascii="宋体"/>
          <w:color w:val="000000" w:themeColor="text1"/>
          <w:sz w:val="24"/>
        </w:rPr>
        <w:t>在试卷上答题</w:t>
      </w:r>
      <w:r>
        <w:rPr>
          <w:rFonts w:hAnsi="宋体"/>
          <w:color w:val="000000" w:themeColor="text1"/>
          <w:sz w:val="24"/>
        </w:rPr>
        <w:t>无效</w:t>
      </w:r>
      <w:r>
        <w:rPr>
          <w:rFonts w:hint="eastAsia" w:hAnsi="宋体"/>
          <w:color w:val="000000" w:themeColor="text1"/>
          <w:sz w:val="24"/>
        </w:rPr>
        <w:t>。</w:t>
      </w:r>
    </w:p>
    <w:p>
      <w:pPr>
        <w:widowControl/>
        <w:spacing w:line="360" w:lineRule="auto"/>
        <w:ind w:firstLine="482" w:firstLineChars="200"/>
        <w:rPr>
          <w:rFonts w:ascii="Arial" w:hAnsi="Arial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3、试卷内容结构</w:t>
      </w:r>
    </w:p>
    <w:p>
      <w:pPr>
        <w:spacing w:line="500" w:lineRule="exact"/>
        <w:ind w:firstLine="480" w:firstLineChars="200"/>
        <w:rPr>
          <w:rFonts w:hint="default" w:ascii="宋体" w:hAnsi="宋体" w:eastAsia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hint="eastAsia" w:ascii="宋体" w:hAnsi="宋体"/>
          <w:color w:val="000000" w:themeColor="text1"/>
          <w:sz w:val="24"/>
          <w:lang w:eastAsia="zh-CN"/>
        </w:rPr>
        <w:t>题型结构</w:t>
      </w:r>
      <w:r>
        <w:rPr>
          <w:rFonts w:hint="eastAsia" w:ascii="宋体" w:hAnsi="宋体"/>
          <w:color w:val="000000" w:themeColor="text1"/>
          <w:sz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  <w:lang w:eastAsia="zh-CN"/>
        </w:rPr>
        <w:t>：名词解释（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20%</w:t>
      </w:r>
      <w:r>
        <w:rPr>
          <w:rFonts w:hint="eastAsia" w:ascii="宋体" w:hAnsi="宋体"/>
          <w:color w:val="000000" w:themeColor="text1"/>
          <w:sz w:val="24"/>
          <w:lang w:eastAsia="zh-CN"/>
        </w:rPr>
        <w:t>），</w:t>
      </w:r>
      <w:r>
        <w:rPr>
          <w:rFonts w:hint="eastAsia" w:ascii="宋体" w:hAnsi="宋体"/>
          <w:color w:val="000000" w:themeColor="text1"/>
          <w:sz w:val="24"/>
        </w:rPr>
        <w:t>填空题（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20%</w:t>
      </w:r>
      <w:r>
        <w:rPr>
          <w:rFonts w:hint="eastAsia" w:ascii="宋体" w:hAnsi="宋体"/>
          <w:color w:val="000000" w:themeColor="text1"/>
          <w:sz w:val="24"/>
        </w:rPr>
        <w:t>）</w:t>
      </w:r>
      <w:r>
        <w:rPr>
          <w:rFonts w:hint="eastAsia" w:ascii="宋体" w:hAnsi="宋体"/>
          <w:color w:val="000000" w:themeColor="text1"/>
          <w:sz w:val="24"/>
          <w:lang w:eastAsia="zh-CN"/>
        </w:rPr>
        <w:t>，</w:t>
      </w:r>
      <w:r>
        <w:rPr>
          <w:rFonts w:ascii="宋体" w:hAnsi="宋体"/>
          <w:color w:val="000000" w:themeColor="text1"/>
          <w:sz w:val="24"/>
        </w:rPr>
        <w:t>简答题</w:t>
      </w:r>
      <w:r>
        <w:rPr>
          <w:rFonts w:hint="eastAsia" w:ascii="宋体" w:hAnsi="宋体"/>
          <w:color w:val="000000" w:themeColor="text1"/>
          <w:sz w:val="24"/>
          <w:lang w:eastAsia="zh-CN"/>
        </w:rPr>
        <w:t>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25%-30%</w:t>
      </w:r>
      <w:r>
        <w:rPr>
          <w:rFonts w:hint="eastAsia" w:ascii="宋体" w:hAnsi="宋体"/>
          <w:color w:val="000000" w:themeColor="text1"/>
          <w:sz w:val="24"/>
          <w:lang w:eastAsia="zh-CN"/>
        </w:rPr>
        <w:t>）；论述题（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30%-35%</w:t>
      </w:r>
      <w:r>
        <w:rPr>
          <w:rFonts w:hint="eastAsia" w:ascii="宋体" w:hAnsi="宋体"/>
          <w:color w:val="000000" w:themeColor="text1"/>
          <w:sz w:val="24"/>
          <w:lang w:eastAsia="zh-CN"/>
        </w:rPr>
        <w:t>）。</w:t>
      </w:r>
    </w:p>
    <w:p>
      <w:pPr>
        <w:spacing w:line="50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（2）</w:t>
      </w:r>
      <w:r>
        <w:rPr>
          <w:rFonts w:hint="eastAsia" w:ascii="宋体" w:hAnsi="宋体"/>
          <w:color w:val="000000" w:themeColor="text1"/>
          <w:sz w:val="24"/>
          <w:lang w:eastAsia="zh-CN"/>
        </w:rPr>
        <w:t>内容组成：基本概念、基本理论、基本知识等方面的内容占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80%；应用理论、方法解决实际问题和综合知识等方面的内容占20%。</w:t>
      </w:r>
      <w:bookmarkStart w:id="0" w:name="_GoBack"/>
      <w:bookmarkEnd w:id="0"/>
    </w:p>
    <w:p>
      <w:pPr>
        <w:spacing w:line="500" w:lineRule="exact"/>
        <w:rPr>
          <w:rFonts w:ascii="宋体" w:hAnsi="宋体" w:cs="Arial"/>
          <w:b/>
          <w:color w:val="000000" w:themeColor="text1"/>
          <w:kern w:val="0"/>
          <w:sz w:val="24"/>
        </w:rPr>
      </w:pPr>
      <w:r>
        <w:rPr>
          <w:rFonts w:hint="eastAsia" w:ascii="Arial" w:hAnsi="Arial" w:cs="Arial"/>
          <w:b/>
          <w:color w:val="000000" w:themeColor="text1"/>
          <w:kern w:val="0"/>
          <w:sz w:val="24"/>
        </w:rPr>
        <w:t>四、</w:t>
      </w:r>
      <w:r>
        <w:rPr>
          <w:rFonts w:ascii="宋体" w:hAnsi="宋体" w:cs="Arial"/>
          <w:b/>
          <w:bCs/>
          <w:color w:val="000000" w:themeColor="text1"/>
          <w:kern w:val="0"/>
          <w:sz w:val="24"/>
        </w:rPr>
        <w:t>参考</w:t>
      </w: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书目</w:t>
      </w:r>
    </w:p>
    <w:p>
      <w:pPr>
        <w:widowControl/>
        <w:spacing w:line="360" w:lineRule="auto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1、《作物栽培学》，王荣栋、尹经章主编，高等教育出版社，2</w:t>
      </w:r>
      <w:r>
        <w:rPr>
          <w:color w:val="000000" w:themeColor="text1"/>
          <w:sz w:val="24"/>
        </w:rPr>
        <w:t>015</w:t>
      </w:r>
      <w:r>
        <w:rPr>
          <w:rFonts w:hint="eastAsia"/>
          <w:color w:val="000000" w:themeColor="text1"/>
          <w:sz w:val="24"/>
        </w:rPr>
        <w:t>年</w:t>
      </w:r>
      <w:r>
        <w:rPr>
          <w:color w:val="000000" w:themeColor="text1"/>
          <w:sz w:val="24"/>
        </w:rPr>
        <w:t>6</w:t>
      </w:r>
      <w:r>
        <w:rPr>
          <w:rFonts w:hint="eastAsia"/>
          <w:color w:val="000000" w:themeColor="text1"/>
          <w:sz w:val="24"/>
        </w:rPr>
        <w:t>月第</w:t>
      </w: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版</w:t>
      </w:r>
    </w:p>
    <w:p>
      <w:pPr>
        <w:widowControl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、《作物栽培学》，王荣栋、尹经章主编，高等教育出版社，2</w:t>
      </w:r>
      <w:r>
        <w:rPr>
          <w:color w:val="000000" w:themeColor="text1"/>
          <w:sz w:val="24"/>
        </w:rPr>
        <w:t>005</w:t>
      </w:r>
      <w:r>
        <w:rPr>
          <w:rFonts w:hint="eastAsia"/>
          <w:color w:val="000000" w:themeColor="text1"/>
          <w:sz w:val="24"/>
        </w:rPr>
        <w:t>年</w:t>
      </w:r>
      <w:r>
        <w:rPr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月第</w:t>
      </w:r>
      <w:r>
        <w:rPr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版</w:t>
      </w:r>
    </w:p>
    <w:p>
      <w:pPr>
        <w:widowControl/>
        <w:spacing w:line="360" w:lineRule="auto"/>
        <w:jc w:val="center"/>
        <w:rPr>
          <w:rFonts w:ascii="宋体" w:hAnsi="宋体" w:cs="Arial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Arial"/>
          <w:b/>
          <w:bCs/>
          <w:color w:val="000000" w:themeColor="text1"/>
          <w:kern w:val="0"/>
          <w:sz w:val="24"/>
        </w:rPr>
        <w:t>第二部分   考试要点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总论部分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作物和作物生产、作物栽培学的性质和任务 、作物栽培学的现状和发展、作物的生长发育与环境、作物产量品质和生产潜力。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了解作物栽培学的发展方向、取得的成果；理解作物的生长发育与环境的关系及“作物栽培学”学科的性质、任务和研究方法；掌握作物分类的依据、作物产量及产量形成。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：作物栽培学课程的性质、任务和研究方法；作物的分类。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各论部分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小麦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小麦生产概况、小麦栽培的生物学基础、冬小麦高产栽培技术要点、春小麦丰产栽培技术要点。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了解小麦的生长发育过程；理解分蘖、成穗规律、水肥特性和小麦高产优质的栽培技术原理；掌握小麦各生育阶段的生育特点、主攻目标及栽培技术要点。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：小麦各器官生长特征、栽培的生物学基础；各生育阶段的生育特点、水肥特性、主攻目标和栽培技术要点。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玉米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玉米生产概况、玉米栽培的生物学基础、玉米高产栽培技术。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了解玉米生产的概况，玉米的主要用途，玉米栽培种的分类；理解玉米需肥需水规律和栽培技术原理；掌握玉米各生育阶段的生育特点、主攻目标、栽培技术要点。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：玉米各器官生长及影响因素；玉米栽培的生物学基础；各生育阶段的生育特点、主攻目标、水肥特性及栽培及原理和栽培技术要点。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水稻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水稻生产概况、水稻栽培的生物学基础、直播水稻栽培技术、水稻的育秧移栽技术。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了解水稻生产概况和品种类型；理解水稻的生育类型及水肥技术措施原理；掌握水稻的各生育阶段的生育特点、主攻目标及直播水稻的栽培技术要点和育秧移栽技术要点。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：各生育阶段的生育特点及器官建成；水稻的需水需肥特性；影响水稻分蘖的因素；水稻各生育阶段的生育特点、主攻目标、肥水管理及栽培技术原理;直播水稻的栽培技术要点。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棉花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棉花生产概况、棉花栽培的生物学基础、棉花膜下滴灌栽培技术。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棉花的栽培种，生育习性、生长发育规律与器官建成，棉铃、棉纤维的发育过程及影响棉铃生长发育的因素；理解棉铃时空分布与品质的关系，棉花生长的温度、光照、土壤要求，棉花高产的肥水吸收规律，棉花栽培的“矮密早膜”技术路线，高产栽培技术指标；掌握棉花各生育阶段的生育特点、主攻目标、主要措施，打顶、化调、脱叶等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：棉花生长发育过程与器官建成，蕾铃脱落的原因与对策，棉花栽培的生物学特征，高产栽培技术指标，长势长相诊断，各生育阶段的生育特点、主攻目标、中心任务及主要措施等。</w:t>
      </w:r>
    </w:p>
    <w:p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大豆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考核内容</w:t>
      </w:r>
      <w:r>
        <w:rPr>
          <w:rFonts w:hint="eastAsia" w:ascii="宋体" w:hAnsi="宋体"/>
          <w:b/>
          <w:bCs/>
          <w:color w:val="000000" w:themeColor="text1"/>
          <w:sz w:val="24"/>
        </w:rPr>
        <w:t>：</w:t>
      </w:r>
      <w:r>
        <w:rPr>
          <w:rFonts w:hint="eastAsia" w:ascii="宋体" w:hAnsi="宋体"/>
          <w:bCs/>
          <w:color w:val="000000" w:themeColor="text1"/>
          <w:sz w:val="24"/>
        </w:rPr>
        <w:t>大豆生产概况、大豆栽培的生物学基础、大豆高产栽培技术。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bCs/>
          <w:color w:val="000000" w:themeColor="text1"/>
          <w:sz w:val="24"/>
        </w:rPr>
        <w:t>考试要求：</w:t>
      </w:r>
      <w:r>
        <w:rPr>
          <w:rFonts w:hint="eastAsia" w:ascii="宋体" w:hAnsi="宋体"/>
          <w:bCs/>
          <w:color w:val="000000" w:themeColor="text1"/>
          <w:sz w:val="24"/>
        </w:rPr>
        <w:t>了解大豆的生产概况，大豆类型，生长发育过程；理解大豆的各器官的形态特征，花荚脱落与防治，生育环境条件要求，产量、品质形成，需肥需水规律；掌握大豆的生育时期，及各生育阶段的生育特点、主攻目标和栽培技术要点。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/>
          <w:b/>
          <w:bCs/>
          <w:color w:val="000000" w:themeColor="text1"/>
          <w:sz w:val="24"/>
        </w:rPr>
        <w:t>考核重点</w:t>
      </w:r>
      <w:r>
        <w:rPr>
          <w:rFonts w:hint="eastAsia" w:ascii="宋体" w:hAnsi="宋体"/>
          <w:bCs/>
          <w:color w:val="000000" w:themeColor="text1"/>
          <w:sz w:val="24"/>
        </w:rPr>
        <w:t>：大豆的各器官的形态特征，大豆的生育过程及环境因素对大豆生长发育的影响；大豆的结荚习性；需肥需水规律，各生育阶段的生育特点、主攻目标和栽培技术要点。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0A9A"/>
    <w:rsid w:val="000D5A5D"/>
    <w:rsid w:val="000E4039"/>
    <w:rsid w:val="001B6F47"/>
    <w:rsid w:val="001F5334"/>
    <w:rsid w:val="002F4276"/>
    <w:rsid w:val="0033743B"/>
    <w:rsid w:val="003B4D03"/>
    <w:rsid w:val="003E1583"/>
    <w:rsid w:val="004056CA"/>
    <w:rsid w:val="0044765C"/>
    <w:rsid w:val="00520A9A"/>
    <w:rsid w:val="00530203"/>
    <w:rsid w:val="00661A8D"/>
    <w:rsid w:val="00772BD6"/>
    <w:rsid w:val="007A6989"/>
    <w:rsid w:val="007E6491"/>
    <w:rsid w:val="00907798"/>
    <w:rsid w:val="00941127"/>
    <w:rsid w:val="00951641"/>
    <w:rsid w:val="009974CE"/>
    <w:rsid w:val="00A55F01"/>
    <w:rsid w:val="00A77706"/>
    <w:rsid w:val="00AA637B"/>
    <w:rsid w:val="00AB10D8"/>
    <w:rsid w:val="00B14561"/>
    <w:rsid w:val="00BA68B2"/>
    <w:rsid w:val="00BF4627"/>
    <w:rsid w:val="00C53294"/>
    <w:rsid w:val="00D8435C"/>
    <w:rsid w:val="00DF2079"/>
    <w:rsid w:val="00E072DA"/>
    <w:rsid w:val="00E80E20"/>
    <w:rsid w:val="00F047CC"/>
    <w:rsid w:val="00F55850"/>
    <w:rsid w:val="00F76A6E"/>
    <w:rsid w:val="00F84799"/>
    <w:rsid w:val="00FA4C30"/>
    <w:rsid w:val="00FA7E67"/>
    <w:rsid w:val="00FB49AC"/>
    <w:rsid w:val="0F93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style101"/>
    <w:basedOn w:val="5"/>
    <w:uiPriority w:val="0"/>
    <w:rPr>
      <w:sz w:val="22"/>
      <w:szCs w:val="22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251</Words>
  <Characters>1431</Characters>
  <Lines>11</Lines>
  <Paragraphs>3</Paragraphs>
  <TotalTime>13</TotalTime>
  <ScaleCrop>false</ScaleCrop>
  <LinksUpToDate>false</LinksUpToDate>
  <CharactersWithSpaces>1679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2018-08-27T09:15:00Z</dcterms:created>
  <dc:creator>lenove</dc:creator>
  <cp:lastModifiedBy>罗新宁</cp:lastModifiedBy>
  <dcterms:modified xsi:type="dcterms:W3CDTF">2020-09-18T01:42:01Z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