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907"/>
        <w:gridCol w:w="911"/>
        <w:gridCol w:w="1251"/>
        <w:gridCol w:w="911"/>
        <w:gridCol w:w="911"/>
        <w:gridCol w:w="1001"/>
        <w:gridCol w:w="2279"/>
      </w:tblGrid>
      <w:tr w:rsidR="008B3AA0" w:rsidTr="002F0FE9">
        <w:trPr>
          <w:trHeight w:val="1545"/>
          <w:tblCellSpacing w:w="0" w:type="dxa"/>
        </w:trPr>
        <w:tc>
          <w:tcPr>
            <w:tcW w:w="94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spacing w:before="150" w:beforeAutospacing="0"/>
              <w:ind w:firstLine="562"/>
              <w:jc w:val="center"/>
            </w:pPr>
            <w:r>
              <w:rPr>
                <w:rStyle w:val="a4"/>
                <w:rFonts w:ascii="宋体" w:hAnsi="宋体" w:cs="宋体" w:hint="eastAsia"/>
                <w:sz w:val="28"/>
                <w:szCs w:val="28"/>
              </w:rPr>
              <w:t>001经济管理学院（0312-7528679）</w:t>
            </w:r>
          </w:p>
          <w:p w:rsidR="008B3AA0" w:rsidRDefault="004366BB">
            <w:pPr>
              <w:pStyle w:val="a3"/>
              <w:widowControl/>
              <w:ind w:firstLine="381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备注：</w:t>
            </w:r>
          </w:p>
          <w:p w:rsidR="008B3AA0" w:rsidRDefault="004366BB">
            <w:pPr>
              <w:pStyle w:val="a3"/>
              <w:widowControl/>
              <w:ind w:firstLine="381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1.后期专业</w:t>
            </w:r>
            <w:proofErr w:type="gramStart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拟考试</w:t>
            </w:r>
            <w:proofErr w:type="gramEnd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招生人数</w:t>
            </w:r>
            <w:proofErr w:type="gramStart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因正式</w:t>
            </w:r>
            <w:proofErr w:type="gramEnd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招生计划下达或实际</w:t>
            </w:r>
            <w:proofErr w:type="gramStart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录取推免硕士生</w:t>
            </w:r>
            <w:proofErr w:type="gramEnd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可能产生变动。</w:t>
            </w:r>
          </w:p>
          <w:p w:rsidR="008B3AA0" w:rsidRDefault="004366BB">
            <w:pPr>
              <w:pStyle w:val="a3"/>
              <w:widowControl/>
              <w:ind w:firstLine="381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2.</w:t>
            </w:r>
            <w:proofErr w:type="gramStart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拟考试</w:t>
            </w:r>
            <w:proofErr w:type="gramEnd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招生人数包含拟招收退役大学生士兵计划</w:t>
            </w:r>
          </w:p>
        </w:tc>
      </w:tr>
      <w:tr w:rsidR="008B3AA0" w:rsidTr="002F0FE9">
        <w:trPr>
          <w:trHeight w:val="705"/>
          <w:tblCellSpacing w:w="0" w:type="dxa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专业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研究方向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学习</w:t>
            </w: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br/>
              <w:t>方式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考试科目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proofErr w:type="gramStart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拟考试</w:t>
            </w:r>
            <w:proofErr w:type="gramEnd"/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招生人数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拟接收推免生数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退役大学生士兵计划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1"/>
              <w:jc w:val="center"/>
            </w:pPr>
            <w:r>
              <w:rPr>
                <w:rStyle w:val="a4"/>
                <w:rFonts w:ascii="宋体" w:hAnsi="宋体" w:cs="宋体" w:hint="eastAsia"/>
                <w:sz w:val="19"/>
                <w:szCs w:val="19"/>
              </w:rPr>
              <w:t>复试科目</w:t>
            </w:r>
          </w:p>
        </w:tc>
      </w:tr>
      <w:tr w:rsidR="008B3AA0" w:rsidTr="002F0FE9">
        <w:trPr>
          <w:trHeight w:val="375"/>
          <w:tblCellSpacing w:w="0" w:type="dxa"/>
        </w:trPr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120201</w:t>
            </w:r>
          </w:p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会计学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01会计与审计理论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全日制</w:t>
            </w:r>
          </w:p>
        </w:tc>
        <w:tc>
          <w:tcPr>
            <w:tcW w:w="12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sz w:val="19"/>
                <w:szCs w:val="19"/>
              </w:rPr>
              <w:t>101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思想政治理论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②</w:t>
            </w:r>
            <w:r>
              <w:rPr>
                <w:rFonts w:ascii="Times New Roman" w:hAnsi="Times New Roman"/>
                <w:sz w:val="19"/>
                <w:szCs w:val="19"/>
              </w:rPr>
              <w:t>201</w:t>
            </w:r>
            <w:r>
              <w:rPr>
                <w:rFonts w:ascii="宋体" w:hAnsi="宋体" w:cs="宋体" w:hint="eastAsia"/>
                <w:sz w:val="19"/>
                <w:szCs w:val="19"/>
              </w:rPr>
              <w:t>英语</w:t>
            </w:r>
            <w:proofErr w:type="gramStart"/>
            <w:r>
              <w:rPr>
                <w:rFonts w:ascii="宋体" w:hAnsi="宋体" w:cs="宋体" w:hint="eastAsia"/>
                <w:sz w:val="19"/>
                <w:szCs w:val="19"/>
              </w:rPr>
              <w:t>一</w:t>
            </w:r>
            <w:proofErr w:type="gramEnd"/>
            <w:r>
              <w:rPr>
                <w:rFonts w:ascii="宋体" w:hAnsi="宋体" w:cs="宋体" w:hint="eastAsia"/>
                <w:sz w:val="19"/>
                <w:szCs w:val="19"/>
              </w:rPr>
              <w:t xml:space="preserve">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③</w:t>
            </w:r>
            <w:r>
              <w:rPr>
                <w:rFonts w:ascii="Times New Roman" w:hAnsi="Times New Roman"/>
                <w:sz w:val="19"/>
                <w:szCs w:val="19"/>
              </w:rPr>
              <w:t>303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数学三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④</w:t>
            </w:r>
            <w:r>
              <w:rPr>
                <w:rFonts w:ascii="Times New Roman" w:hAnsi="Times New Roman"/>
                <w:sz w:val="19"/>
                <w:szCs w:val="19"/>
              </w:rPr>
              <w:t>834</w:t>
            </w:r>
            <w:r>
              <w:rPr>
                <w:rFonts w:ascii="宋体" w:hAnsi="宋体" w:cs="宋体" w:hint="eastAsia"/>
                <w:sz w:val="19"/>
                <w:szCs w:val="19"/>
              </w:rPr>
              <w:t>管理学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5</w:t>
            </w:r>
          </w:p>
        </w:tc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widowControl/>
              <w:ind w:firstLine="480"/>
              <w:jc w:val="left"/>
            </w:pPr>
          </w:p>
        </w:tc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会计学</w:t>
            </w:r>
          </w:p>
        </w:tc>
      </w:tr>
      <w:tr w:rsidR="008B3AA0" w:rsidTr="002F0FE9">
        <w:trPr>
          <w:trHeight w:val="375"/>
          <w:tblCellSpacing w:w="0" w:type="dxa"/>
        </w:trPr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02财务管理理论与应用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全日制</w:t>
            </w: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</w:tr>
      <w:tr w:rsidR="008B3AA0" w:rsidTr="002F0FE9">
        <w:trPr>
          <w:trHeight w:val="375"/>
          <w:tblCellSpacing w:w="0" w:type="dxa"/>
        </w:trPr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03资产管理与评估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全日制</w:t>
            </w: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ind w:firstLine="480"/>
              <w:rPr>
                <w:rFonts w:ascii="宋体"/>
              </w:rPr>
            </w:pPr>
          </w:p>
        </w:tc>
      </w:tr>
      <w:tr w:rsidR="008B3AA0" w:rsidTr="002F0FE9">
        <w:trPr>
          <w:trHeight w:val="1170"/>
          <w:tblCellSpacing w:w="0" w:type="dxa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125300</w:t>
            </w:r>
          </w:p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会计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00不区分研究方向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全日制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管理类联考综合能力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②</w:t>
            </w: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英语二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</w:r>
            <w:r>
              <w:rPr>
                <w:rFonts w:ascii="宋体" w:hAnsi="宋体" w:cs="宋体" w:hint="eastAsia"/>
                <w:sz w:val="19"/>
                <w:szCs w:val="19"/>
              </w:rPr>
              <w:lastRenderedPageBreak/>
              <w:t>③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无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④</w:t>
            </w:r>
            <w:r>
              <w:rPr>
                <w:rFonts w:ascii="Times New Roman" w:hAnsi="Times New Roman"/>
                <w:sz w:val="19"/>
                <w:szCs w:val="19"/>
              </w:rPr>
              <w:t>--</w:t>
            </w:r>
            <w:r>
              <w:rPr>
                <w:rFonts w:ascii="宋体" w:hAnsi="宋体" w:cs="宋体" w:hint="eastAsia"/>
                <w:sz w:val="19"/>
                <w:szCs w:val="19"/>
              </w:rPr>
              <w:t>无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lastRenderedPageBreak/>
              <w:t>41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widowControl/>
              <w:ind w:firstLine="480"/>
              <w:jc w:val="left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widowControl/>
              <w:ind w:firstLine="480"/>
              <w:jc w:val="left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中级会计实务、政治 </w:t>
            </w:r>
          </w:p>
        </w:tc>
      </w:tr>
      <w:tr w:rsidR="008B3AA0" w:rsidTr="002F0FE9">
        <w:trPr>
          <w:trHeight w:val="1080"/>
          <w:tblCellSpacing w:w="0" w:type="dxa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125300</w:t>
            </w:r>
          </w:p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会计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00不区分研究方向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非全日制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管理类联考综合能力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②</w:t>
            </w:r>
            <w:r>
              <w:rPr>
                <w:rFonts w:ascii="Times New Roman" w:hAnsi="Times New Roman"/>
                <w:sz w:val="19"/>
                <w:szCs w:val="19"/>
              </w:rPr>
              <w:t>204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英语二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③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宋体" w:hAnsi="宋体" w:cs="宋体" w:hint="eastAsia"/>
                <w:sz w:val="19"/>
                <w:szCs w:val="19"/>
              </w:rPr>
              <w:t xml:space="preserve">无 </w:t>
            </w:r>
            <w:r>
              <w:rPr>
                <w:rFonts w:ascii="宋体" w:hAnsi="宋体" w:cs="宋体" w:hint="eastAsia"/>
                <w:sz w:val="19"/>
                <w:szCs w:val="19"/>
              </w:rPr>
              <w:br/>
              <w:t>④</w:t>
            </w:r>
            <w:r>
              <w:rPr>
                <w:rFonts w:ascii="Times New Roman" w:hAnsi="Times New Roman"/>
                <w:sz w:val="19"/>
                <w:szCs w:val="19"/>
              </w:rPr>
              <w:t>--</w:t>
            </w:r>
            <w:r>
              <w:rPr>
                <w:rFonts w:ascii="宋体" w:hAnsi="宋体" w:cs="宋体" w:hint="eastAsia"/>
                <w:sz w:val="19"/>
                <w:szCs w:val="19"/>
              </w:rPr>
              <w:t>无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  <w:jc w:val="center"/>
            </w:pPr>
            <w:r>
              <w:rPr>
                <w:rFonts w:ascii="宋体" w:hAnsi="宋体" w:cs="宋体" w:hint="eastAsia"/>
                <w:sz w:val="19"/>
                <w:szCs w:val="19"/>
              </w:rPr>
              <w:t>24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widowControl/>
              <w:ind w:firstLine="480"/>
              <w:jc w:val="left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8B3AA0">
            <w:pPr>
              <w:widowControl/>
              <w:ind w:firstLine="480"/>
              <w:jc w:val="left"/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B3AA0" w:rsidRDefault="004366BB">
            <w:pPr>
              <w:pStyle w:val="a3"/>
              <w:widowControl/>
              <w:ind w:firstLine="380"/>
            </w:pPr>
            <w:r>
              <w:rPr>
                <w:rFonts w:ascii="宋体" w:hAnsi="宋体" w:cs="宋体" w:hint="eastAsia"/>
                <w:sz w:val="19"/>
                <w:szCs w:val="19"/>
              </w:rPr>
              <w:t>中级会计实务、政治</w:t>
            </w:r>
          </w:p>
        </w:tc>
      </w:tr>
    </w:tbl>
    <w:p w:rsidR="008B3AA0" w:rsidRDefault="008B3AA0">
      <w:pPr>
        <w:ind w:firstLine="480"/>
      </w:pPr>
      <w:bookmarkStart w:id="0" w:name="_GoBack"/>
      <w:bookmarkEnd w:id="0"/>
    </w:p>
    <w:sectPr w:rsidR="008B3AA0" w:rsidSect="002F0FE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AA0"/>
    <w:rsid w:val="002F0FE9"/>
    <w:rsid w:val="004366BB"/>
    <w:rsid w:val="008B3AA0"/>
    <w:rsid w:val="008C5FD2"/>
    <w:rsid w:val="6D4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BF8"/>
  <w15:docId w15:val="{9F9CE12E-1174-4FB3-A3CD-E1CAD750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1124"/>
      <w:jc w:val="both"/>
    </w:pPr>
    <w:rPr>
      <w:rFonts w:ascii="Calibri" w:hAnsi="Calibri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2014-10-29T12:08:00Z</dcterms:created>
  <dcterms:modified xsi:type="dcterms:W3CDTF">2020-10-20T02:51:00Z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